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1">
      <w:pPr>
        <w:pStyle w:val="Title"/>
        <w:ind w:left="1" w:hanging="3"/>
        <w:rPr>
          <w:sz w:val="26"/>
          <w:szCs w:val="26"/>
        </w:rPr>
      </w:pPr>
    </w:p>
    <w:p w14:paraId="00000002">
      <w:pPr>
        <w:pStyle w:val="Title"/>
        <w:ind w:left="0" w:hanging="2"/>
        <w:rPr>
          <w:sz w:val="23"/>
          <w:szCs w:val="23"/>
        </w:rPr>
      </w:pPr>
    </w:p>
    <w:p w14:paraId="00000003">
      <w:pPr>
        <w:pStyle w:val="Title"/>
        <w:ind w:left="0" w:hanging="2"/>
        <w:rPr>
          <w:sz w:val="24"/>
        </w:rPr>
      </w:pPr>
      <w:r>
        <w:rPr>
          <w:sz w:val="24"/>
        </w:rPr>
        <w:t>NOMAS LĪGUMS Nr._______</w:t>
      </w:r>
    </w:p>
    <w:p w14:paraId="00000004">
      <w:pPr>
        <w:pStyle w:val="Title"/>
        <w:ind w:left="0" w:hanging="2"/>
        <w:rPr>
          <w:sz w:val="24"/>
        </w:rPr>
      </w:pPr>
      <w:r>
        <w:rPr>
          <w:sz w:val="24"/>
        </w:rPr>
        <w:t xml:space="preserve">Par </w:t>
      </w:r>
      <w:r>
        <w:rPr>
          <w:sz w:val="24"/>
        </w:rPr>
        <w:t>kafijas</w:t>
      </w:r>
      <w:r>
        <w:rPr>
          <w:sz w:val="24"/>
        </w:rPr>
        <w:t xml:space="preserve"> automāta tirdzniecības vietas nomu</w:t>
      </w:r>
    </w:p>
    <w:p w14:paraId="00000005">
      <w:pPr>
        <w:ind w:left="0" w:hanging="2"/>
        <w:jc w:val="both"/>
        <w:rPr>
          <w:sz w:val="23"/>
          <w:szCs w:val="23"/>
        </w:rPr>
      </w:pPr>
    </w:p>
    <w:p w14:paraId="00000006">
      <w:pPr>
        <w:tabs>
          <w:tab w:val="left" w:pos="6663"/>
        </w:tabs>
        <w:ind w:left="0" w:hanging="2"/>
        <w:jc w:val="both"/>
        <w:rPr>
          <w:sz w:val="22"/>
          <w:szCs w:val="22"/>
        </w:rPr>
      </w:pPr>
      <w:r>
        <w:rPr>
          <w:sz w:val="22"/>
          <w:szCs w:val="22"/>
        </w:rPr>
        <w:t>Rīgā,</w:t>
      </w:r>
    </w:p>
    <w:p w14:paraId="00000007">
      <w:pPr>
        <w:ind w:left="0" w:hanging="2"/>
        <w:jc w:val="both"/>
        <w:rPr>
          <w:i/>
          <w:sz w:val="22"/>
          <w:szCs w:val="22"/>
        </w:rPr>
      </w:pPr>
      <w:r>
        <w:rPr>
          <w:i/>
          <w:sz w:val="22"/>
          <w:szCs w:val="22"/>
        </w:rPr>
        <w:t>dokumenta datums ir</w:t>
      </w:r>
    </w:p>
    <w:p w14:paraId="00000008">
      <w:pPr>
        <w:ind w:left="0" w:hanging="2"/>
        <w:jc w:val="both"/>
        <w:rPr>
          <w:i/>
          <w:sz w:val="22"/>
          <w:szCs w:val="22"/>
        </w:rPr>
      </w:pPr>
      <w:r>
        <w:rPr>
          <w:i/>
          <w:sz w:val="22"/>
          <w:szCs w:val="22"/>
        </w:rPr>
        <w:t xml:space="preserve">pušu pēdējā elektroniskā paraksta </w:t>
      </w:r>
    </w:p>
    <w:p w14:paraId="00000009">
      <w:pPr>
        <w:ind w:left="0" w:hanging="2"/>
        <w:jc w:val="both"/>
        <w:rPr>
          <w:i/>
          <w:sz w:val="22"/>
          <w:szCs w:val="22"/>
        </w:rPr>
      </w:pPr>
      <w:r>
        <w:rPr>
          <w:i/>
          <w:sz w:val="22"/>
          <w:szCs w:val="22"/>
        </w:rPr>
        <w:t xml:space="preserve">laika zīmoga datums </w:t>
      </w:r>
    </w:p>
    <w:p w14:paraId="0000000A">
      <w:pPr>
        <w:tabs>
          <w:tab w:val="left" w:pos="6663"/>
        </w:tabs>
        <w:ind w:left="0" w:hanging="2"/>
        <w:jc w:val="both"/>
        <w:rPr>
          <w:sz w:val="23"/>
          <w:szCs w:val="23"/>
        </w:rPr>
      </w:pPr>
    </w:p>
    <w:p w14:paraId="0000000B">
      <w:pPr>
        <w:ind w:left="0" w:hanging="2"/>
        <w:jc w:val="both"/>
        <w:rPr>
          <w:sz w:val="23"/>
          <w:szCs w:val="23"/>
        </w:rPr>
      </w:pPr>
    </w:p>
    <w:p w14:paraId="0000000C">
      <w:pPr>
        <w:ind w:left="0" w:hanging="2"/>
        <w:jc w:val="both"/>
        <w:rPr>
          <w:rStyle w:val="Noklusējumarindkopasfonts1"/>
          <w:sz w:val="22"/>
          <w:szCs w:val="22"/>
        </w:rPr>
      </w:pPr>
      <w:r>
        <w:rPr>
          <w:b/>
          <w:color w:val="000000"/>
        </w:rPr>
        <w:t>Sabiedrība ar ierobežotu atbildību “Latvijas Nacionālais sporta centrs”</w:t>
      </w:r>
      <w:r>
        <w:rPr>
          <w:color w:val="000000"/>
        </w:rPr>
        <w:t xml:space="preserve"> </w:t>
      </w:r>
      <w:r>
        <w:rPr>
          <w:color w:val="000000"/>
          <w:sz w:val="22"/>
          <w:szCs w:val="22"/>
        </w:rPr>
        <w:t>(turpmāk – Sabiedrība), reģistrācijas Nr.50003140671</w:t>
      </w:r>
      <w:r>
        <w:rPr>
          <w:sz w:val="22"/>
          <w:szCs w:val="22"/>
        </w:rPr>
        <w:t xml:space="preserve">, (turpmāk – IZNOMĀTĀJS), kuras vārdā </w:t>
      </w:r>
      <w:r>
        <w:rPr>
          <w:rStyle w:val="Noklusējumarindkopasfonts1"/>
          <w:color w:val="000000"/>
          <w:sz w:val="22"/>
          <w:szCs w:val="22"/>
        </w:rPr>
        <w:t>pamatojoties uz statūtiem un valdes 2025. gada 3. aprīļa pilnvarojumu, pārstāv valdes priekšsēdētājs Daniēls Nātriņš,  no vienas puses</w:t>
      </w:r>
      <w:r>
        <w:rPr>
          <w:rStyle w:val="Noklusējumarindkopasfonts1"/>
          <w:sz w:val="22"/>
          <w:szCs w:val="22"/>
        </w:rPr>
        <w:t>, un</w:t>
      </w:r>
    </w:p>
    <w:p w14:paraId="0000000D">
      <w:pPr>
        <w:ind w:left="0" w:hanging="2"/>
        <w:jc w:val="both"/>
        <w:rPr>
          <w:sz w:val="23"/>
          <w:szCs w:val="23"/>
        </w:rPr>
      </w:pPr>
      <w:r>
        <w:rPr>
          <w:b/>
          <w:sz w:val="23"/>
          <w:szCs w:val="23"/>
        </w:rPr>
        <w:t>_______________________________</w:t>
      </w:r>
      <w:r>
        <w:rPr>
          <w:sz w:val="23"/>
          <w:szCs w:val="23"/>
        </w:rPr>
        <w:t>, reģistrācijas Nr.</w:t>
      </w:r>
      <w:r>
        <w:rPr>
          <w:sz w:val="22"/>
          <w:szCs w:val="22"/>
        </w:rPr>
        <w:t xml:space="preserve"> </w:t>
      </w:r>
      <w:r>
        <w:rPr>
          <w:sz w:val="22"/>
          <w:szCs w:val="22"/>
        </w:rPr>
        <w:t>________________</w:t>
      </w:r>
      <w:r>
        <w:rPr>
          <w:sz w:val="23"/>
          <w:szCs w:val="23"/>
        </w:rPr>
        <w:t xml:space="preserve">, (turpmāk – NOMNIEKS), </w:t>
      </w:r>
      <w:r>
        <w:rPr>
          <w:sz w:val="22"/>
          <w:szCs w:val="22"/>
        </w:rPr>
        <w:t xml:space="preserve">tās </w:t>
      </w:r>
      <w:r>
        <w:rPr>
          <w:sz w:val="22"/>
          <w:szCs w:val="22"/>
        </w:rPr>
        <w:t>________________________________________________</w:t>
      </w:r>
      <w:r>
        <w:rPr>
          <w:sz w:val="22"/>
          <w:szCs w:val="22"/>
        </w:rPr>
        <w:t xml:space="preserve"> personā  no otras puses</w:t>
      </w:r>
      <w:r>
        <w:rPr>
          <w:sz w:val="23"/>
          <w:szCs w:val="23"/>
        </w:rPr>
        <w:t>, kopā saukti – Puses, noslēdz šādu līgumu (turpmāk – Līgums):</w:t>
      </w:r>
    </w:p>
    <w:p w14:paraId="0000000E">
      <w:pPr>
        <w:ind w:left="1" w:hanging="3"/>
        <w:jc w:val="both"/>
        <w:rPr>
          <w:sz w:val="32"/>
          <w:szCs w:val="32"/>
        </w:rPr>
      </w:pPr>
    </w:p>
    <w:p w14:paraId="0000000F">
      <w:pPr>
        <w:numPr>
          <w:ilvl w:val="0"/>
          <w:numId w:val="4"/>
        </w:numPr>
        <w:ind w:left="0" w:hanging="2"/>
        <w:jc w:val="center"/>
        <w:rPr>
          <w:sz w:val="23"/>
          <w:szCs w:val="23"/>
        </w:rPr>
      </w:pPr>
      <w:r>
        <w:rPr>
          <w:b/>
          <w:sz w:val="23"/>
          <w:szCs w:val="23"/>
        </w:rPr>
        <w:t>LĪGUMA PRIEKŠMETS</w:t>
      </w:r>
    </w:p>
    <w:p w14:paraId="00000010">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IZNOMĀTĀJS pret atlīdzību nodod un NOMNIEKS pieņem lietošanā nekustamā īpašuma </w:t>
      </w:r>
      <w:r>
        <w:rPr>
          <w:sz w:val="23"/>
          <w:szCs w:val="23"/>
        </w:rPr>
        <w:t>kafijas</w:t>
      </w:r>
      <w:r>
        <w:rPr>
          <w:sz w:val="23"/>
          <w:szCs w:val="23"/>
        </w:rPr>
        <w:t xml:space="preserve"> automāta tirdzniecības vietas nomu, kas atrodas </w:t>
      </w:r>
      <w:r>
        <w:rPr>
          <w:rFonts w:ascii="Times New Roman" w:cs="Times New Roman" w:eastAsia="Times New Roman" w:hAnsi="Times New Roman"/>
        </w:rPr>
        <w:t>Krišjāņa Barona ielā 99c</w:t>
      </w:r>
      <w:r>
        <w:rPr>
          <w:rFonts w:ascii="Times New Roman" w:cs="Times New Roman" w:eastAsia="Times New Roman" w:hAnsi="Times New Roman"/>
          <w:color w:val="000000"/>
        </w:rPr>
        <w:t>, Rīgā (būves  kadastra apzīmējums 01000270024013)</w:t>
      </w:r>
      <w:r>
        <w:rPr>
          <w:sz w:val="23"/>
          <w:szCs w:val="23"/>
        </w:rPr>
        <w:t xml:space="preserve"> </w:t>
      </w:r>
      <w:r>
        <w:rPr>
          <w:sz w:val="23"/>
          <w:szCs w:val="23"/>
        </w:rPr>
        <w:t>ar  platību ne lielāku par 2 m</w:t>
      </w:r>
      <w:r>
        <w:rPr>
          <w:sz w:val="23"/>
          <w:szCs w:val="23"/>
          <w:vertAlign w:val="superscript"/>
        </w:rPr>
        <w:t>2</w:t>
      </w:r>
      <w:r>
        <w:rPr>
          <w:sz w:val="23"/>
          <w:szCs w:val="23"/>
        </w:rPr>
        <w:t xml:space="preserve"> (divi </w:t>
      </w:r>
      <w:r>
        <w:rPr>
          <w:sz w:val="23"/>
          <w:szCs w:val="23"/>
        </w:rPr>
        <w:t>kvadrāmetri</w:t>
      </w:r>
      <w:r>
        <w:rPr>
          <w:sz w:val="23"/>
          <w:szCs w:val="23"/>
        </w:rPr>
        <w:t xml:space="preserve">) </w:t>
      </w:r>
      <w:r>
        <w:rPr>
          <w:i/>
          <w:color w:val="000000"/>
          <w:sz w:val="23"/>
          <w:szCs w:val="23"/>
        </w:rPr>
        <w:t xml:space="preserve"> </w:t>
      </w:r>
      <w:r>
        <w:rPr>
          <w:color w:val="000000"/>
          <w:sz w:val="23"/>
          <w:szCs w:val="23"/>
        </w:rPr>
        <w:t>(turpmāk – Nomas objekts).</w:t>
      </w:r>
    </w:p>
    <w:p w14:paraId="00000011">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Nomas objektu NOMNIEKS izmanto tikai saimnieciskās darbības īstenošanai: </w:t>
      </w:r>
      <w:r>
        <w:rPr>
          <w:color w:val="000000"/>
          <w:sz w:val="23"/>
          <w:szCs w:val="23"/>
        </w:rPr>
        <w:t>_____________________.</w:t>
      </w:r>
    </w:p>
    <w:p w14:paraId="00000012">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Nomas objekts NOMNIEKAM ir ierādīts un zināms un NOMNIEKS to pieņem stāvoklī, kādā tas atrodas Līguma parakstīšanas brīdī.</w:t>
      </w:r>
    </w:p>
    <w:p w14:paraId="00000013">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NOMNIEKS par saviem līdzekļiem sedz Nomas objekta (telpu) labiekārtošanas darbus, ja tādi nepieciešami saimnieciskās darbības uzsākšanai, t.sk. nodrošina nepieciešamā aprīkojuma, iekārtu un mēbeļu iegādi.</w:t>
      </w:r>
    </w:p>
    <w:p w14:paraId="00000014">
      <w:pPr>
        <w:tabs>
          <w:tab w:val="left" w:pos="426"/>
        </w:tabs>
        <w:ind w:left="0" w:hanging="2"/>
        <w:jc w:val="both"/>
        <w:rPr>
          <w:sz w:val="23"/>
          <w:szCs w:val="23"/>
        </w:rPr>
      </w:pPr>
    </w:p>
    <w:p w14:paraId="00000015">
      <w:pPr>
        <w:numPr>
          <w:ilvl w:val="0"/>
          <w:numId w:val="10"/>
        </w:numPr>
        <w:tabs>
          <w:tab w:val="left" w:pos="426"/>
        </w:tabs>
        <w:ind w:left="0" w:hanging="2"/>
        <w:jc w:val="center"/>
        <w:rPr>
          <w:sz w:val="23"/>
          <w:szCs w:val="23"/>
        </w:rPr>
      </w:pPr>
      <w:r>
        <w:rPr>
          <w:b/>
          <w:sz w:val="23"/>
          <w:szCs w:val="23"/>
        </w:rPr>
        <w:t>LĪGUMA DARBĪBAS TERMIŅŠ</w:t>
      </w:r>
    </w:p>
    <w:p w14:paraId="00000016">
      <w:pPr>
        <w:numPr>
          <w:ilvl w:val="1"/>
          <w:numId w:val="10"/>
        </w:numPr>
        <w:ind w:left="0" w:hanging="2"/>
        <w:jc w:val="both"/>
        <w:rPr>
          <w:sz w:val="23"/>
          <w:szCs w:val="23"/>
        </w:rPr>
      </w:pPr>
      <w:r>
        <w:rPr>
          <w:sz w:val="23"/>
          <w:szCs w:val="23"/>
        </w:rPr>
        <w:t xml:space="preserve"> Līgums stājas spēkā 2026. gada __. __________, un ir noslēgts uz noteiktu laiku 1 (viens) gads līdz </w:t>
      </w:r>
      <w:r>
        <w:rPr>
          <w:b/>
          <w:sz w:val="23"/>
          <w:szCs w:val="23"/>
        </w:rPr>
        <w:t>2027.gada __.________________</w:t>
      </w:r>
      <w:r>
        <w:rPr>
          <w:sz w:val="23"/>
          <w:szCs w:val="23"/>
        </w:rPr>
        <w:t>. Saistības, kas radušās Līguma spēkā esamības laikā, ir spēkā līdz to pilnīgai izpildei.</w:t>
      </w:r>
    </w:p>
    <w:p w14:paraId="00000017">
      <w:pPr>
        <w:numPr>
          <w:ilvl w:val="1"/>
          <w:numId w:val="10"/>
        </w:numPr>
        <w:ind w:left="0" w:hanging="2"/>
        <w:jc w:val="both"/>
        <w:rPr>
          <w:sz w:val="23"/>
          <w:szCs w:val="23"/>
        </w:rPr>
      </w:pPr>
      <w:r>
        <w:rPr>
          <w:sz w:val="23"/>
          <w:szCs w:val="23"/>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8">
      <w:pPr>
        <w:numPr>
          <w:ilvl w:val="1"/>
          <w:numId w:val="10"/>
        </w:numPr>
        <w:ind w:left="0" w:hanging="2"/>
        <w:jc w:val="both"/>
        <w:rPr>
          <w:sz w:val="23"/>
          <w:szCs w:val="23"/>
        </w:rPr>
      </w:pPr>
      <w:r>
        <w:rPr>
          <w:sz w:val="23"/>
          <w:szCs w:val="23"/>
        </w:rPr>
        <w:t>IZNOMĀTĀJAM ir tiesības, rakstiski informējot NOMNIEKU, vienpusēji izbeigt Līgumu, neatlīdzinot NOMNIEKAM zaudējumus, kas saistīti ar Līguma pirmstermiņa izbeigšanu, kā arī NOMNIEKA Nomas objektam taisītos izdevums, ja:</w:t>
      </w:r>
    </w:p>
    <w:p w14:paraId="00000019">
      <w:pPr>
        <w:numPr>
          <w:ilvl w:val="2"/>
          <w:numId w:val="13"/>
        </w:numPr>
        <w:ind w:left="0" w:hanging="2"/>
        <w:jc w:val="both"/>
        <w:rPr>
          <w:sz w:val="23"/>
          <w:szCs w:val="23"/>
        </w:rPr>
      </w:pPr>
      <w:r>
        <w:rPr>
          <w:sz w:val="23"/>
          <w:szCs w:val="23"/>
        </w:rPr>
        <w:t>NOMNIEKS ilgāk kā 2 (divus) kalendāros mēnešus kavē Līgumā noteikto maksājumu samaksas termiņu;</w:t>
      </w:r>
    </w:p>
    <w:p w14:paraId="0000001A">
      <w:pPr>
        <w:numPr>
          <w:ilvl w:val="2"/>
          <w:numId w:val="13"/>
        </w:numPr>
        <w:ind w:left="0" w:hanging="2"/>
        <w:jc w:val="both"/>
        <w:rPr>
          <w:sz w:val="23"/>
          <w:szCs w:val="23"/>
        </w:rPr>
      </w:pPr>
      <w:r>
        <w:rPr>
          <w:sz w:val="23"/>
          <w:szCs w:val="23"/>
        </w:rPr>
        <w:t xml:space="preserve">NOMNIEKA darbības vai bezdarbības rezultātā tiek bojāts Nomas objekts, t.sk., bet </w:t>
      </w:r>
      <w:r>
        <w:rPr>
          <w:sz w:val="23"/>
          <w:szCs w:val="23"/>
        </w:rPr>
        <w:t>netikai</w:t>
      </w:r>
      <w:r>
        <w:rPr>
          <w:sz w:val="23"/>
          <w:szCs w:val="23"/>
        </w:rPr>
        <w:t xml:space="preserve"> NOMNIEKS veic patvaļīgu Nomas objekta vai tā daļas pārbūvi, pārplānošanu, nojaukšanu, maina tā funkcionālo nozīmi, bojā citu IZNOMĀTĀJA īpašumu;</w:t>
      </w:r>
    </w:p>
    <w:p w14:paraId="0000001B">
      <w:pPr>
        <w:numPr>
          <w:ilvl w:val="2"/>
          <w:numId w:val="13"/>
        </w:numPr>
        <w:ind w:left="0" w:hanging="2"/>
        <w:jc w:val="both"/>
        <w:rPr>
          <w:sz w:val="23"/>
          <w:szCs w:val="23"/>
        </w:rPr>
      </w:pPr>
      <w:r>
        <w:rPr>
          <w:sz w:val="23"/>
          <w:szCs w:val="23"/>
        </w:rPr>
        <w:t>NOMNIEKS neievēro Līguma noteikumus, t.sk., bet ne tikai izmanto Nomas objektu citam mērķim kā paredzēts Līguma 1.2.punktā vai neizmanto Nomas objektu Līguma 1.2.punktā noteiktajam mērķim;</w:t>
      </w:r>
    </w:p>
    <w:p w14:paraId="0000001C">
      <w:pPr>
        <w:numPr>
          <w:ilvl w:val="2"/>
          <w:numId w:val="13"/>
        </w:numPr>
        <w:ind w:left="0" w:hanging="2"/>
        <w:jc w:val="both"/>
        <w:rPr>
          <w:sz w:val="23"/>
          <w:szCs w:val="23"/>
        </w:rPr>
      </w:pPr>
      <w:r>
        <w:rPr>
          <w:sz w:val="23"/>
          <w:szCs w:val="23"/>
        </w:rPr>
        <w:t>NOMNIEKS ir nodevis Nomas objektu apakšnomā;</w:t>
      </w:r>
    </w:p>
    <w:p w14:paraId="0000001D">
      <w:pPr>
        <w:numPr>
          <w:ilvl w:val="2"/>
          <w:numId w:val="13"/>
        </w:numPr>
        <w:ind w:left="0" w:hanging="2"/>
        <w:jc w:val="both"/>
        <w:rPr>
          <w:sz w:val="23"/>
          <w:szCs w:val="23"/>
        </w:rPr>
      </w:pPr>
      <w:r>
        <w:rPr>
          <w:sz w:val="23"/>
          <w:szCs w:val="23"/>
        </w:rPr>
        <w:t>NOMNIEKS ar spēkā stājušos tiesas nolēmumu atzīts par maksātnespējīgu;</w:t>
      </w:r>
    </w:p>
    <w:p w14:paraId="0000001E">
      <w:pPr>
        <w:numPr>
          <w:ilvl w:val="2"/>
          <w:numId w:val="13"/>
        </w:numPr>
        <w:ind w:left="0" w:hanging="2"/>
        <w:jc w:val="both"/>
        <w:rPr>
          <w:sz w:val="23"/>
          <w:szCs w:val="23"/>
        </w:rPr>
      </w:pPr>
      <w:r>
        <w:rPr>
          <w:sz w:val="23"/>
          <w:szCs w:val="23"/>
        </w:rPr>
        <w:t>ar Valsts ieņēmumu dienesta lēmumu tiek apturēta NOMNIEKA saimnieciskā darbība;</w:t>
      </w:r>
    </w:p>
    <w:p w14:paraId="0000001F">
      <w:pPr>
        <w:numPr>
          <w:ilvl w:val="2"/>
          <w:numId w:val="13"/>
        </w:numPr>
        <w:ind w:left="0" w:hanging="2"/>
        <w:jc w:val="both"/>
        <w:rPr>
          <w:sz w:val="23"/>
          <w:szCs w:val="23"/>
        </w:rPr>
      </w:pPr>
      <w:r>
        <w:rPr>
          <w:sz w:val="23"/>
          <w:szCs w:val="23"/>
        </w:rPr>
        <w:t>NOMNIEKS neievēro Civillikuma vai citu normatīvo aktu noteikumi attiecībā uz Nomas objekta lietošanu un uzturēšanu;</w:t>
      </w:r>
    </w:p>
    <w:p w14:paraId="00000020">
      <w:pPr>
        <w:numPr>
          <w:ilvl w:val="2"/>
          <w:numId w:val="13"/>
        </w:numPr>
        <w:ind w:left="0" w:hanging="2"/>
        <w:jc w:val="both"/>
        <w:rPr>
          <w:sz w:val="23"/>
          <w:szCs w:val="23"/>
        </w:rPr>
      </w:pPr>
      <w:r>
        <w:rPr>
          <w:sz w:val="23"/>
          <w:szCs w:val="23"/>
        </w:rPr>
        <w:t>NOMNIEKS ļaunprātīgi nepilda Līguma nosacījumus un dod pamatu IZNOMĀTĀJAM uzskatīt, ka IZNOMĀTĀJS nevar paļauties uz saistību izpildīšanu nākotnē.</w:t>
      </w:r>
    </w:p>
    <w:p w14:paraId="00000021">
      <w:pPr>
        <w:ind w:left="0" w:hanging="2"/>
        <w:jc w:val="both"/>
        <w:rPr>
          <w:sz w:val="23"/>
          <w:szCs w:val="23"/>
        </w:rPr>
      </w:pPr>
      <w:r>
        <w:rPr>
          <w:sz w:val="23"/>
          <w:szCs w:val="23"/>
        </w:rPr>
        <w:t>Puses vienojas, ka, ja Līguma darbība tiek izbeigta šajā Līguma punkta apakšpunktos minēto iemeslu dēļ, Līgums tiek uzskatīts par izbeigtu 10.(desmitajā) darba dienā pēc attiecīgā IZNOMĀTĀJA rakstveida paziņojuma nosūtīšanas dienas.</w:t>
      </w:r>
    </w:p>
    <w:p w14:paraId="00000022">
      <w:pPr>
        <w:numPr>
          <w:ilvl w:val="1"/>
          <w:numId w:val="10"/>
        </w:numPr>
        <w:ind w:left="0" w:hanging="2"/>
        <w:jc w:val="both"/>
        <w:rPr>
          <w:sz w:val="23"/>
          <w:szCs w:val="23"/>
        </w:rPr>
      </w:pPr>
      <w:r>
        <w:rPr>
          <w:sz w:val="23"/>
          <w:szCs w:val="23"/>
        </w:rPr>
        <w:t xml:space="preserve">IZNOMĀTĀJAM ir tiesības 90 (deviņdesmit) kalendārās dienas iepriekš </w:t>
      </w:r>
      <w:r>
        <w:rPr>
          <w:sz w:val="23"/>
          <w:szCs w:val="23"/>
        </w:rPr>
        <w:t>rakstveidā</w:t>
      </w:r>
      <w:r>
        <w:rPr>
          <w:sz w:val="23"/>
          <w:szCs w:val="23"/>
        </w:rPr>
        <w:t xml:space="preserve"> brīdinot NOMNIEKU, vienpusēji izbeigt Līgumu, neatlīdzinot NOMNIEKAM zaudējumus, kas saistīti ar Līguma pirmstermiņa izbeigšanu:</w:t>
      </w:r>
    </w:p>
    <w:p w14:paraId="00000023">
      <w:pPr>
        <w:numPr>
          <w:ilvl w:val="2"/>
          <w:numId w:val="1"/>
        </w:numPr>
        <w:ind w:left="0" w:hanging="2"/>
        <w:jc w:val="both"/>
        <w:rPr>
          <w:sz w:val="23"/>
          <w:szCs w:val="23"/>
        </w:rPr>
      </w:pPr>
      <w:r>
        <w:rPr>
          <w:sz w:val="23"/>
          <w:szCs w:val="23"/>
        </w:rPr>
        <w:t>ja Nomas objekts IZNOMĀTĀJAM nepieciešams sabiedrisko vajadzību nodrošināšanai vai normatīvajos aktos noteikto publisko funkciju veikšanai;</w:t>
      </w:r>
    </w:p>
    <w:p w14:paraId="00000024">
      <w:pPr>
        <w:numPr>
          <w:ilvl w:val="2"/>
          <w:numId w:val="1"/>
        </w:numPr>
        <w:ind w:left="0" w:hanging="2"/>
        <w:jc w:val="both"/>
        <w:rPr>
          <w:sz w:val="23"/>
          <w:szCs w:val="23"/>
        </w:rPr>
      </w:pPr>
      <w:r>
        <w:rPr>
          <w:sz w:val="23"/>
          <w:szCs w:val="23"/>
        </w:rPr>
        <w:t>pēc IZNOMĀTĀJA iniciatīvas.</w:t>
      </w:r>
    </w:p>
    <w:p w14:paraId="00000025">
      <w:pPr>
        <w:numPr>
          <w:ilvl w:val="1"/>
          <w:numId w:val="10"/>
        </w:numPr>
        <w:ind w:left="0" w:hanging="2"/>
        <w:jc w:val="both"/>
        <w:rPr>
          <w:sz w:val="23"/>
          <w:szCs w:val="23"/>
        </w:rPr>
      </w:pPr>
      <w:r>
        <w:rPr>
          <w:sz w:val="23"/>
          <w:szCs w:val="23"/>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6">
      <w:pPr>
        <w:numPr>
          <w:ilvl w:val="1"/>
          <w:numId w:val="10"/>
        </w:numPr>
        <w:ind w:left="0" w:hanging="2"/>
        <w:jc w:val="both"/>
        <w:rPr>
          <w:sz w:val="23"/>
          <w:szCs w:val="23"/>
        </w:rPr>
      </w:pPr>
      <w:r>
        <w:rPr>
          <w:sz w:val="23"/>
          <w:szCs w:val="23"/>
        </w:rPr>
        <w:t xml:space="preserve">NOMNIEKAM ir tiesības vienpusēji atkāpties no Līguma </w:t>
      </w:r>
      <w:r>
        <w:rPr>
          <w:sz w:val="23"/>
          <w:szCs w:val="23"/>
        </w:rPr>
        <w:t>rakstveidā</w:t>
      </w:r>
      <w:r>
        <w:rPr>
          <w:sz w:val="23"/>
          <w:szCs w:val="23"/>
        </w:rPr>
        <w:t xml:space="preserve"> paziņojot par to IZNOMĀTĀJAM ne mazāk kā 60 (sešdesmit) kalendārās dienas iepriekš.</w:t>
      </w:r>
    </w:p>
    <w:p w14:paraId="00000027">
      <w:pPr>
        <w:ind w:left="0" w:hanging="2"/>
        <w:jc w:val="both"/>
        <w:rPr>
          <w:sz w:val="23"/>
          <w:szCs w:val="23"/>
        </w:rPr>
      </w:pPr>
    </w:p>
    <w:p w14:paraId="00000028">
      <w:pPr>
        <w:numPr>
          <w:ilvl w:val="0"/>
          <w:numId w:val="10"/>
        </w:numPr>
        <w:tabs>
          <w:tab w:val="left" w:pos="426"/>
        </w:tabs>
        <w:ind w:left="0" w:hanging="2"/>
        <w:jc w:val="center"/>
        <w:rPr>
          <w:sz w:val="23"/>
          <w:szCs w:val="23"/>
        </w:rPr>
      </w:pPr>
      <w:r>
        <w:rPr>
          <w:b/>
          <w:sz w:val="23"/>
          <w:szCs w:val="23"/>
        </w:rPr>
        <w:t>MAKSĀJUMI UN NORĒĶINU KĀRTĪBA</w:t>
      </w:r>
      <w:bookmarkStart w:id="0" w:name="bookmark=id.gjdgxs"/>
      <w:bookmarkEnd w:id="0"/>
    </w:p>
    <w:p w14:paraId="00000029">
      <w:pPr>
        <w:numPr>
          <w:ilvl w:val="1"/>
          <w:numId w:val="10"/>
        </w:numPr>
        <w:ind w:left="0" w:hanging="2"/>
        <w:jc w:val="both"/>
        <w:rPr>
          <w:sz w:val="23"/>
          <w:szCs w:val="23"/>
        </w:rPr>
      </w:pPr>
      <w:r>
        <w:rPr>
          <w:sz w:val="23"/>
          <w:szCs w:val="23"/>
        </w:rPr>
        <w:t xml:space="preserve"> NOMNIEKS maksā IZNOMĀTĀJAM ikmēneša nomas maksu par Nomas objektu kopā </w:t>
      </w:r>
      <w:r>
        <w:rPr>
          <w:b/>
          <w:sz w:val="23"/>
          <w:szCs w:val="23"/>
        </w:rPr>
        <w:t xml:space="preserve">EUR ____________ apmērā, </w:t>
      </w:r>
      <w:r>
        <w:rPr>
          <w:sz w:val="23"/>
          <w:szCs w:val="23"/>
        </w:rPr>
        <w:t>neskaitot pievienotās vērtības nodokli (turpmāk – PVN).</w:t>
      </w:r>
      <w:r>
        <w:rPr>
          <w:b/>
          <w:sz w:val="23"/>
          <w:szCs w:val="23"/>
        </w:rPr>
        <w:t xml:space="preserve"> </w:t>
      </w:r>
      <w:r>
        <w:rPr>
          <w:sz w:val="23"/>
          <w:szCs w:val="23"/>
        </w:rPr>
        <w:t xml:space="preserve">PVN Līguma noslēgšanas brīdī ir 21% (divdesmit viens procents), kas ir EUR ___________. Mēneša nomas maksas </w:t>
      </w:r>
      <w:r>
        <w:rPr>
          <w:b/>
          <w:sz w:val="23"/>
          <w:szCs w:val="23"/>
        </w:rPr>
        <w:t>kopējā summa ar PVN ir ______________.</w:t>
      </w:r>
    </w:p>
    <w:p w14:paraId="0000002A">
      <w:pPr>
        <w:numPr>
          <w:ilvl w:val="1"/>
          <w:numId w:val="10"/>
        </w:numPr>
        <w:ind w:left="0" w:hanging="2"/>
        <w:jc w:val="both"/>
        <w:rPr>
          <w:sz w:val="23"/>
          <w:szCs w:val="23"/>
        </w:rPr>
      </w:pPr>
      <w:r>
        <w:rPr>
          <w:sz w:val="23"/>
          <w:szCs w:val="23"/>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2B">
      <w:pPr>
        <w:numPr>
          <w:ilvl w:val="1"/>
          <w:numId w:val="10"/>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Papildus nomas maksai NOMNIEKS maksā par komunālajiem pakalpojumiem (apkure, elektroenerģija, ūdensapgāde, kanalizācija, atkritumu izvešana) un apsaimniekošanas izdevumiem, kā arī citiem pakalpojumiem (piemēram, sakaru pakalpojumi), ja IZNOMĀTĀJS šādus pakalpojumus nodrošina.</w:t>
      </w:r>
    </w:p>
    <w:p w14:paraId="0000002C">
      <w:pPr>
        <w:numPr>
          <w:ilvl w:val="1"/>
          <w:numId w:val="10"/>
        </w:numPr>
        <w:ind w:left="0" w:hanging="2"/>
        <w:jc w:val="both"/>
        <w:rPr>
          <w:sz w:val="23"/>
          <w:szCs w:val="23"/>
        </w:rPr>
      </w:pPr>
      <w:r>
        <w:rPr>
          <w:sz w:val="23"/>
          <w:szCs w:val="23"/>
        </w:rPr>
        <w:t xml:space="preserve">NOMNIEKS nomas maksu maksā, sākot ar Līguma abpusējas parakstīšanas dienu. </w:t>
      </w:r>
    </w:p>
    <w:p w14:paraId="0000002D">
      <w:pPr>
        <w:numPr>
          <w:ilvl w:val="1"/>
          <w:numId w:val="10"/>
        </w:numPr>
        <w:ind w:left="0" w:hanging="2"/>
        <w:jc w:val="both"/>
        <w:rPr>
          <w:sz w:val="23"/>
          <w:szCs w:val="23"/>
        </w:rPr>
      </w:pPr>
      <w:r>
        <w:rPr>
          <w:sz w:val="23"/>
          <w:szCs w:val="23"/>
        </w:rPr>
        <w:t xml:space="preserve"> NOMNIEKS nomas maksu maksā par kārtējo kalendāro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2E">
      <w:pPr>
        <w:numPr>
          <w:ilvl w:val="1"/>
          <w:numId w:val="10"/>
        </w:numPr>
        <w:ind w:left="0" w:hanging="2"/>
        <w:jc w:val="both"/>
        <w:rPr>
          <w:sz w:val="23"/>
          <w:szCs w:val="23"/>
        </w:rPr>
      </w:pPr>
      <w:r>
        <w:rPr>
          <w:sz w:val="23"/>
          <w:szCs w:val="23"/>
        </w:rPr>
        <w:t xml:space="preserve">NOMNIEKS maksu par Līguma 3.3.apakšpunktā minētajiem pakalpojumiem maksā par iepriekšējo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2F">
      <w:pPr>
        <w:numPr>
          <w:ilvl w:val="1"/>
          <w:numId w:val="10"/>
        </w:numPr>
        <w:ind w:left="0" w:hanging="2"/>
        <w:jc w:val="both"/>
        <w:rPr>
          <w:sz w:val="23"/>
          <w:szCs w:val="23"/>
        </w:rPr>
      </w:pPr>
      <w:r>
        <w:rPr>
          <w:sz w:val="23"/>
          <w:szCs w:val="23"/>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0">
      <w:pPr>
        <w:numPr>
          <w:ilvl w:val="1"/>
          <w:numId w:val="10"/>
        </w:numPr>
        <w:ind w:left="0" w:hanging="2"/>
        <w:jc w:val="both"/>
        <w:rPr>
          <w:sz w:val="23"/>
          <w:szCs w:val="23"/>
        </w:rPr>
      </w:pPr>
      <w:r>
        <w:rPr>
          <w:sz w:val="23"/>
          <w:szCs w:val="23"/>
        </w:rPr>
        <w:t xml:space="preserve">IZNOMĀTĀJS visus rēķinus, kas izriet no šī Līguma, NOMNIEKAM iesniedz elektroniskā veidā, nosūtot tos uz NOMNIEKA elektronisko pasta adresi </w:t>
      </w:r>
      <w:r>
        <w:rPr>
          <w:rStyle w:val="Hyperlink"/>
          <w:sz w:val="23"/>
          <w:szCs w:val="23"/>
        </w:rPr>
        <w:fldChar w:fldCharType="begin"/>
      </w:r>
      <w:r>
        <w:rPr>
          <w:rStyle w:val="Hyperlink"/>
          <w:sz w:val="23"/>
          <w:szCs w:val="23"/>
        </w:rPr>
        <w:instrText xml:space="preserve">HYPERLINK "mailto:info@fsmasters.lv" </w:instrText>
      </w:r>
      <w:r>
        <w:rPr>
          <w:rStyle w:val="Hyperlink"/>
          <w:sz w:val="23"/>
          <w:szCs w:val="23"/>
        </w:rPr>
        <w:fldChar w:fldCharType="separate"/>
      </w:r>
      <w:r>
        <w:rPr>
          <w:rStyle w:val="Hyperlink"/>
          <w:sz w:val="23"/>
          <w:szCs w:val="23"/>
        </w:rPr>
        <w:t>___________</w:t>
      </w:r>
      <w:r>
        <w:rPr>
          <w:sz w:val="23"/>
          <w:szCs w:val="23"/>
          <w:u w:val="single"/>
        </w:rPr>
        <w:fldChar w:fldCharType="end"/>
      </w:r>
      <w:r>
        <w:rPr>
          <w:sz w:val="23"/>
          <w:szCs w:val="23"/>
          <w:u w:val="single"/>
        </w:rPr>
        <w:t xml:space="preserve"> </w:t>
      </w:r>
      <w:r>
        <w:rPr>
          <w:sz w:val="23"/>
          <w:szCs w:val="23"/>
        </w:rPr>
        <w:t>. 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1">
      <w:pPr>
        <w:numPr>
          <w:ilvl w:val="1"/>
          <w:numId w:val="10"/>
        </w:numPr>
        <w:ind w:left="0" w:hanging="2"/>
        <w:jc w:val="both"/>
        <w:rPr>
          <w:sz w:val="23"/>
          <w:szCs w:val="23"/>
        </w:rPr>
      </w:pPr>
      <w:r>
        <w:rPr>
          <w:sz w:val="23"/>
          <w:szCs w:val="23"/>
        </w:rPr>
        <w:t>Nomas maksa par Nomas objekta  lietošanu un citi Līgumā paredzētie maksājumi tiek veikti pārskaitījuma veidā uz IZNOMĀTĀJA norēķinu kontu.</w:t>
      </w:r>
    </w:p>
    <w:p w14:paraId="00000032">
      <w:pPr>
        <w:numPr>
          <w:ilvl w:val="1"/>
          <w:numId w:val="10"/>
        </w:numPr>
        <w:ind w:left="0" w:hanging="2"/>
        <w:jc w:val="both"/>
        <w:rPr>
          <w:sz w:val="23"/>
          <w:szCs w:val="23"/>
        </w:rPr>
      </w:pPr>
      <w:r>
        <w:rPr>
          <w:sz w:val="23"/>
          <w:szCs w:val="23"/>
        </w:rPr>
        <w:t>Līguma 4.1.4.punktā noteiktajā gadījumā nomas maksa netiek aprēķināta par laika periodu, kad NOMNIEKAM ir liegta iespēja lietot Nomas objektu.</w:t>
      </w:r>
    </w:p>
    <w:p w14:paraId="00000033">
      <w:pPr>
        <w:numPr>
          <w:ilvl w:val="1"/>
          <w:numId w:val="10"/>
        </w:numPr>
        <w:spacing w:line="240" w:lineRule="auto"/>
        <w:jc w:val="both"/>
        <w:rPr>
          <w:bCs/>
          <w:sz w:val="23"/>
          <w:szCs w:val="23"/>
        </w:rPr>
      </w:pPr>
      <w:r>
        <w:rPr>
          <w:bCs/>
          <w:sz w:val="23"/>
          <w:szCs w:val="23"/>
        </w:rPr>
        <w:t>IZNOMĀTĀJAM ir tiesības, nosūtot Nomniekam rakstisku paziņojumu, vienpusēji mainīt nomas maksas apmēru bez grozījumu izdarīšanas līgumā:</w:t>
      </w:r>
    </w:p>
    <w:p w14:paraId="00000034">
      <w:pPr>
        <w:numPr>
          <w:ilvl w:val="2"/>
          <w:numId w:val="10"/>
        </w:numPr>
        <w:spacing w:line="240" w:lineRule="auto"/>
        <w:jc w:val="both"/>
        <w:rPr>
          <w:bCs/>
          <w:sz w:val="23"/>
          <w:szCs w:val="23"/>
        </w:rPr>
      </w:pPr>
      <w:r>
        <w:rPr>
          <w:bCs/>
          <w:sz w:val="23"/>
          <w:szCs w:val="23"/>
        </w:rPr>
        <w:t xml:space="preserve">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0000035">
      <w:pPr>
        <w:numPr>
          <w:ilvl w:val="2"/>
          <w:numId w:val="10"/>
        </w:numPr>
        <w:spacing w:line="240" w:lineRule="auto"/>
        <w:jc w:val="both"/>
        <w:rPr>
          <w:bCs/>
          <w:sz w:val="23"/>
          <w:szCs w:val="23"/>
        </w:rPr>
      </w:pPr>
      <w:r>
        <w:rPr>
          <w:bCs/>
          <w:sz w:val="23"/>
          <w:szCs w:val="23"/>
        </w:rPr>
        <w:t xml:space="preserve"> ja saskaņā ar normatīvajiem aktiem tiek no jauna ieviesti vai palielināti nodokļi vai nodevas. Minētajos gadījumos nomas maksas apmērs tiek mainīts, sākot ar dienu, kāda noteikta attiecīgajos normatīvajos aktos;</w:t>
      </w:r>
    </w:p>
    <w:p w14:paraId="00000036">
      <w:pPr>
        <w:numPr>
          <w:ilvl w:val="2"/>
          <w:numId w:val="10"/>
        </w:numPr>
        <w:spacing w:line="240" w:lineRule="auto"/>
        <w:jc w:val="both"/>
        <w:rPr>
          <w:bCs/>
          <w:sz w:val="23"/>
          <w:szCs w:val="23"/>
        </w:rPr>
      </w:pPr>
      <w:r>
        <w:rPr>
          <w:bCs/>
          <w:sz w:val="23"/>
          <w:szCs w:val="23"/>
        </w:rPr>
        <w:t>reizi gadā nākamajam nomas periodam, ja ir mainījušies iznomātāja nomas objekta plānotie pārvaldīšanas izdevumi;</w:t>
      </w:r>
    </w:p>
    <w:p w14:paraId="00000037">
      <w:pPr>
        <w:numPr>
          <w:ilvl w:val="2"/>
          <w:numId w:val="10"/>
        </w:numPr>
        <w:spacing w:line="240" w:lineRule="auto"/>
        <w:jc w:val="both"/>
        <w:rPr>
          <w:bCs/>
          <w:sz w:val="23"/>
          <w:szCs w:val="23"/>
        </w:rPr>
      </w:pPr>
      <w:r>
        <w:rPr>
          <w:bCs/>
          <w:sz w:val="23"/>
          <w:szCs w:val="23"/>
        </w:rPr>
        <w:t xml:space="preserve"> ja normatīvie akti paredz citu nomas maksas apmēru vai nomas maksas aprēķināšanas kārtību.</w:t>
      </w:r>
    </w:p>
    <w:p w14:paraId="00000038">
      <w:pPr>
        <w:tabs>
          <w:tab w:val="left" w:pos="426"/>
        </w:tabs>
        <w:ind w:left="0" w:hanging="2"/>
        <w:jc w:val="both"/>
        <w:rPr>
          <w:sz w:val="23"/>
          <w:szCs w:val="23"/>
        </w:rPr>
      </w:pPr>
    </w:p>
    <w:p w14:paraId="00000039">
      <w:pPr>
        <w:numPr>
          <w:ilvl w:val="0"/>
          <w:numId w:val="10"/>
        </w:numPr>
        <w:ind w:left="0" w:hanging="2"/>
        <w:jc w:val="center"/>
        <w:rPr>
          <w:sz w:val="23"/>
          <w:szCs w:val="23"/>
        </w:rPr>
      </w:pPr>
      <w:r>
        <w:rPr>
          <w:b/>
          <w:sz w:val="23"/>
          <w:szCs w:val="23"/>
        </w:rPr>
        <w:t>IZNOMĀTĀJA TIESĪBAS UN PIENĀKUMI</w:t>
      </w:r>
    </w:p>
    <w:p w14:paraId="0000003A">
      <w:pPr>
        <w:numPr>
          <w:ilvl w:val="1"/>
          <w:numId w:val="5"/>
        </w:numPr>
        <w:ind w:left="0" w:hanging="2"/>
        <w:jc w:val="both"/>
        <w:rPr>
          <w:sz w:val="23"/>
          <w:szCs w:val="23"/>
        </w:rPr>
      </w:pPr>
      <w:r>
        <w:rPr>
          <w:sz w:val="23"/>
          <w:szCs w:val="23"/>
        </w:rPr>
        <w:t>IZNOMĀTĀJAM ir tiesības:</w:t>
      </w:r>
    </w:p>
    <w:p w14:paraId="0000003B">
      <w:pPr>
        <w:numPr>
          <w:ilvl w:val="2"/>
          <w:numId w:val="6"/>
        </w:numPr>
        <w:ind w:left="0" w:hanging="2"/>
        <w:jc w:val="both"/>
        <w:rPr>
          <w:sz w:val="23"/>
          <w:szCs w:val="23"/>
        </w:rPr>
      </w:pPr>
      <w:r>
        <w:rPr>
          <w:sz w:val="23"/>
          <w:szCs w:val="23"/>
        </w:rPr>
        <w:t>NOMNIEKA pārstāvja klātbūtnē pārbaudīt Nomas objekta stāvokli un izmantošanu atbilstoši ekspluatācijas noteikumiem, iepriekš saskaņojot ar NOMNIEKU pārbaudes laiku;</w:t>
      </w:r>
    </w:p>
    <w:p w14:paraId="0000003C">
      <w:pPr>
        <w:numPr>
          <w:ilvl w:val="2"/>
          <w:numId w:val="6"/>
        </w:numPr>
        <w:ind w:left="0" w:hanging="2"/>
        <w:jc w:val="both"/>
        <w:rPr>
          <w:sz w:val="23"/>
          <w:szCs w:val="23"/>
        </w:rPr>
      </w:pPr>
      <w:r>
        <w:rPr>
          <w:sz w:val="23"/>
          <w:szCs w:val="23"/>
        </w:rPr>
        <w:t>avārijas gadījumā (ugunsgrēks, eksplozija, appludināšana u.tml.) bez atsevišķas NOMNIEKA atļaujas saņemšanas jebkurā diennakts laikā piekļūt Nomas objektam;</w:t>
      </w:r>
    </w:p>
    <w:p w14:paraId="0000003D">
      <w:pPr>
        <w:numPr>
          <w:ilvl w:val="2"/>
          <w:numId w:val="6"/>
        </w:numPr>
        <w:ind w:left="0" w:hanging="2"/>
        <w:jc w:val="both"/>
        <w:rPr>
          <w:sz w:val="23"/>
          <w:szCs w:val="23"/>
        </w:rPr>
      </w:pPr>
      <w:r>
        <w:rPr>
          <w:sz w:val="23"/>
          <w:szCs w:val="23"/>
        </w:rPr>
        <w:t xml:space="preserve"> uzsākt, veikt un pabeigt ēkas kārtējos (kosmētiskos) remontdarbus vai rekonstrukciju, informējot par darbu izpildes termiņiem NOMNIEKU, ja šie remontdarbi varētu traucēt NOMNIEKAM izmantot Nomas objektu.</w:t>
      </w:r>
      <w:r>
        <w:rPr>
          <w:sz w:val="23"/>
          <w:szCs w:val="23"/>
        </w:rPr>
        <w:t xml:space="preserve"> </w:t>
      </w:r>
    </w:p>
    <w:p w14:paraId="0000003E">
      <w:pPr>
        <w:numPr>
          <w:ilvl w:val="1"/>
          <w:numId w:val="5"/>
        </w:numPr>
        <w:ind w:left="0" w:hanging="2"/>
        <w:jc w:val="both"/>
        <w:rPr>
          <w:sz w:val="23"/>
          <w:szCs w:val="23"/>
        </w:rPr>
      </w:pPr>
      <w:r>
        <w:rPr>
          <w:sz w:val="23"/>
          <w:szCs w:val="23"/>
        </w:rPr>
        <w:t>IZNOMĀTĀJAM ir pienākums:</w:t>
      </w:r>
    </w:p>
    <w:p w14:paraId="0000003F">
      <w:pPr>
        <w:numPr>
          <w:ilvl w:val="2"/>
          <w:numId w:val="8"/>
        </w:numPr>
        <w:ind w:left="0" w:hanging="2"/>
        <w:jc w:val="both"/>
        <w:rPr>
          <w:sz w:val="23"/>
          <w:szCs w:val="23"/>
        </w:rPr>
      </w:pPr>
      <w:r>
        <w:rPr>
          <w:sz w:val="23"/>
          <w:szCs w:val="23"/>
        </w:rPr>
        <w:t>nodot NOMNIEKAM lietošanā Nomas objektu saskaņā ar Līguma noteikumiem;</w:t>
      </w:r>
    </w:p>
    <w:p w14:paraId="00000040">
      <w:pPr>
        <w:numPr>
          <w:ilvl w:val="2"/>
          <w:numId w:val="8"/>
        </w:numPr>
        <w:ind w:left="0" w:hanging="2"/>
        <w:jc w:val="both"/>
        <w:rPr>
          <w:sz w:val="23"/>
          <w:szCs w:val="23"/>
        </w:rPr>
      </w:pPr>
      <w:r>
        <w:rPr>
          <w:sz w:val="23"/>
          <w:szCs w:val="23"/>
        </w:rPr>
        <w:t>netraucēt NOMNIEKAM lietot Nomas objektu, ja tas tiek ekspluatēts atbilstoši vispārpieņemtām normām, ekspluatācijas un Līguma noteikumiem;</w:t>
      </w:r>
    </w:p>
    <w:p w14:paraId="00000041">
      <w:pPr>
        <w:numPr>
          <w:ilvl w:val="2"/>
          <w:numId w:val="8"/>
        </w:numPr>
        <w:ind w:left="0" w:hanging="2"/>
        <w:jc w:val="both"/>
        <w:rPr>
          <w:sz w:val="23"/>
          <w:szCs w:val="23"/>
        </w:rPr>
      </w:pPr>
      <w:r>
        <w:rPr>
          <w:sz w:val="23"/>
          <w:szCs w:val="23"/>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2">
      <w:pPr>
        <w:numPr>
          <w:ilvl w:val="2"/>
          <w:numId w:val="8"/>
        </w:numPr>
        <w:ind w:left="0" w:hanging="2"/>
        <w:jc w:val="both"/>
        <w:rPr>
          <w:sz w:val="23"/>
          <w:szCs w:val="23"/>
        </w:rPr>
      </w:pPr>
      <w:r>
        <w:rPr>
          <w:sz w:val="23"/>
          <w:szCs w:val="23"/>
        </w:rPr>
        <w:t>nodrošināt NOMNIEKU ar visiem tiem komunālajiem pakalpojumiem, kuru saņemšana ir vai būs atkarīga no IZNOMĀTĀJA.</w:t>
      </w:r>
    </w:p>
    <w:p w14:paraId="00000043">
      <w:pPr>
        <w:numPr>
          <w:ilvl w:val="1"/>
          <w:numId w:val="5"/>
        </w:numPr>
        <w:ind w:left="0" w:hanging="2"/>
        <w:jc w:val="both"/>
        <w:rPr>
          <w:sz w:val="23"/>
          <w:szCs w:val="23"/>
        </w:rPr>
      </w:pPr>
      <w:r>
        <w:rPr>
          <w:sz w:val="23"/>
          <w:szCs w:val="23"/>
        </w:rPr>
        <w:t>IZNOMĀTĀJS nav atbildīgs par pārtraukumiem elektroenerģijas, siltuma vai ūdens piegādē, ja šie pārtraukumi nav radušies IZNOMĀTĀJA vainas dēļ.</w:t>
      </w:r>
    </w:p>
    <w:p w14:paraId="00000044">
      <w:pPr>
        <w:ind w:left="0" w:hanging="2"/>
        <w:jc w:val="both"/>
        <w:rPr>
          <w:sz w:val="23"/>
          <w:szCs w:val="23"/>
        </w:rPr>
      </w:pPr>
    </w:p>
    <w:p w14:paraId="00000045">
      <w:pPr>
        <w:numPr>
          <w:ilvl w:val="0"/>
          <w:numId w:val="5"/>
        </w:numPr>
        <w:ind w:left="0" w:hanging="2"/>
        <w:jc w:val="center"/>
        <w:rPr>
          <w:sz w:val="23"/>
          <w:szCs w:val="23"/>
        </w:rPr>
      </w:pPr>
      <w:r>
        <w:rPr>
          <w:b/>
          <w:sz w:val="23"/>
          <w:szCs w:val="23"/>
        </w:rPr>
        <w:t>NOMNIEKA TIESĪBAS UN PIENĀKUMI</w:t>
      </w:r>
    </w:p>
    <w:p w14:paraId="00000046">
      <w:pPr>
        <w:numPr>
          <w:ilvl w:val="1"/>
          <w:numId w:val="2"/>
        </w:numPr>
        <w:ind w:left="0" w:hanging="2"/>
        <w:jc w:val="both"/>
        <w:rPr>
          <w:sz w:val="23"/>
          <w:szCs w:val="23"/>
        </w:rPr>
      </w:pPr>
      <w:r>
        <w:rPr>
          <w:sz w:val="23"/>
          <w:szCs w:val="23"/>
        </w:rPr>
        <w:t>NOMNIEKAM ir tiesības:</w:t>
      </w:r>
    </w:p>
    <w:p w14:paraId="00000047">
      <w:pPr>
        <w:numPr>
          <w:ilvl w:val="2"/>
          <w:numId w:val="11"/>
        </w:numPr>
        <w:ind w:left="0" w:hanging="2"/>
        <w:jc w:val="both"/>
        <w:rPr>
          <w:sz w:val="23"/>
          <w:szCs w:val="23"/>
        </w:rPr>
      </w:pPr>
      <w:r>
        <w:rPr>
          <w:sz w:val="23"/>
          <w:szCs w:val="23"/>
        </w:rPr>
        <w:t>Nomas termiņa laikā netraucēti, lietot nomāto Nomas objektu Līgumā 1.2.punktā noteiktajam mērķim;</w:t>
      </w:r>
    </w:p>
    <w:p w14:paraId="00000048">
      <w:pPr>
        <w:numPr>
          <w:ilvl w:val="2"/>
          <w:numId w:val="11"/>
        </w:numPr>
        <w:ind w:left="0" w:hanging="2"/>
        <w:jc w:val="both"/>
        <w:rPr>
          <w:sz w:val="23"/>
          <w:szCs w:val="23"/>
        </w:rPr>
      </w:pPr>
      <w:r>
        <w:rPr>
          <w:sz w:val="23"/>
          <w:szCs w:val="23"/>
        </w:rPr>
        <w:t>saņemot iepriekšēju IZNOMĀTĀJA rakstisku piekrišanu un, ja nepieciešams, saskaņojot ar atbildīgajām valsts un/vai pašvaldības iestādēm, uzstādīt konstrukcijas, papildinājumus, zīmes, veikt labojumus Nomas objektā;</w:t>
      </w:r>
    </w:p>
    <w:p w14:paraId="00000049">
      <w:pPr>
        <w:numPr>
          <w:ilvl w:val="1"/>
          <w:numId w:val="2"/>
        </w:numPr>
        <w:ind w:left="0" w:hanging="2"/>
        <w:jc w:val="both"/>
        <w:rPr>
          <w:sz w:val="23"/>
          <w:szCs w:val="23"/>
        </w:rPr>
      </w:pPr>
      <w:r>
        <w:rPr>
          <w:sz w:val="23"/>
          <w:szCs w:val="23"/>
        </w:rPr>
        <w:t xml:space="preserve"> NOMNIEKS nav tiesīgs:</w:t>
      </w:r>
    </w:p>
    <w:p w14:paraId="0000004A">
      <w:pPr>
        <w:numPr>
          <w:ilvl w:val="2"/>
          <w:numId w:val="12"/>
        </w:numPr>
        <w:ind w:left="0" w:hanging="2"/>
        <w:jc w:val="both"/>
        <w:rPr>
          <w:sz w:val="23"/>
          <w:szCs w:val="23"/>
        </w:rPr>
      </w:pPr>
      <w:r>
        <w:rPr>
          <w:sz w:val="23"/>
          <w:szCs w:val="23"/>
        </w:rPr>
        <w:t>nodot Nomas objektu apakšnomā trešajai personai, ieķīlāt nomas tiesības, slēgt sadarbības līgumus vai cita veida līgumus, kuru rezultātā trešā persona iegūtu tiesības uz Nekustamo īpašumu un to lietošanu;</w:t>
      </w:r>
    </w:p>
    <w:p w14:paraId="0000004B">
      <w:pPr>
        <w:numPr>
          <w:ilvl w:val="2"/>
          <w:numId w:val="12"/>
        </w:numPr>
        <w:ind w:left="0" w:hanging="2"/>
        <w:jc w:val="both"/>
        <w:rPr>
          <w:sz w:val="23"/>
          <w:szCs w:val="23"/>
        </w:rPr>
      </w:pPr>
      <w:r>
        <w:rPr>
          <w:sz w:val="23"/>
          <w:szCs w:val="23"/>
        </w:rPr>
        <w:t>veikt jebkādus pārveidojumus vai izmaiņas Nomas objektā bez rakstiskas iepriekšējas saskaņošanas ar IZNOMĀTĀJU.</w:t>
      </w:r>
    </w:p>
    <w:p w14:paraId="0000004C">
      <w:pPr>
        <w:numPr>
          <w:ilvl w:val="1"/>
          <w:numId w:val="2"/>
        </w:numPr>
        <w:ind w:left="0" w:hanging="2"/>
        <w:jc w:val="both"/>
        <w:rPr>
          <w:sz w:val="23"/>
          <w:szCs w:val="23"/>
        </w:rPr>
      </w:pPr>
      <w:r>
        <w:rPr>
          <w:sz w:val="23"/>
          <w:szCs w:val="23"/>
        </w:rPr>
        <w:t>NOMNIEKAM ir pienākums:</w:t>
      </w:r>
    </w:p>
    <w:p w14:paraId="0000004D">
      <w:pPr>
        <w:numPr>
          <w:ilvl w:val="2"/>
          <w:numId w:val="2"/>
        </w:numPr>
        <w:ind w:left="0" w:hanging="2"/>
        <w:jc w:val="both"/>
        <w:rPr>
          <w:sz w:val="23"/>
          <w:szCs w:val="23"/>
        </w:rPr>
      </w:pPr>
      <w:r>
        <w:rPr>
          <w:sz w:val="23"/>
          <w:szCs w:val="23"/>
        </w:rPr>
        <w:t>Lietot Nomas objektu tikai Līguma 1.2.punktā noteiktajam mērķim un saskaņā ar Līguma noteikumiem;</w:t>
      </w:r>
    </w:p>
    <w:p w14:paraId="0000004E">
      <w:pPr>
        <w:numPr>
          <w:ilvl w:val="2"/>
          <w:numId w:val="2"/>
        </w:numPr>
        <w:tabs>
          <w:tab w:val="left" w:pos="993"/>
        </w:tabs>
        <w:ind w:left="0" w:hanging="2"/>
        <w:jc w:val="both"/>
        <w:rPr>
          <w:sz w:val="23"/>
          <w:szCs w:val="23"/>
        </w:rPr>
      </w:pPr>
      <w:r>
        <w:rPr>
          <w:sz w:val="23"/>
          <w:szCs w:val="23"/>
        </w:rPr>
        <w:t>veikt maksājumus atbilstoši Līguma 3.nodaļas noteikumiem;</w:t>
      </w:r>
    </w:p>
    <w:p w14:paraId="0000004F">
      <w:pPr>
        <w:numPr>
          <w:ilvl w:val="2"/>
          <w:numId w:val="2"/>
        </w:numPr>
        <w:ind w:left="0" w:hanging="2"/>
        <w:jc w:val="both"/>
        <w:rPr>
          <w:sz w:val="23"/>
          <w:szCs w:val="23"/>
        </w:rPr>
      </w:pPr>
      <w:r>
        <w:rPr>
          <w:sz w:val="23"/>
          <w:szCs w:val="23"/>
        </w:rPr>
        <w:t xml:space="preserve">ievērot vispārējos īpašuma ekspluatācijas noteikumus, IZNOMĀTĀJA noteiktos iekšējās kārtības noteikumus un IZNOMĀTĀJA norādījumus par Nomas objekta sakārtošanu, ja Nomas </w:t>
      </w:r>
      <w:r>
        <w:rPr>
          <w:sz w:val="23"/>
          <w:szCs w:val="23"/>
        </w:rPr>
        <w:t>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0">
      <w:pPr>
        <w:numPr>
          <w:ilvl w:val="2"/>
          <w:numId w:val="2"/>
        </w:numPr>
        <w:ind w:left="0" w:hanging="2"/>
        <w:jc w:val="both"/>
        <w:rPr>
          <w:sz w:val="23"/>
          <w:szCs w:val="23"/>
        </w:rPr>
      </w:pPr>
      <w:r>
        <w:rPr>
          <w:sz w:val="23"/>
          <w:szCs w:val="23"/>
        </w:rPr>
        <w:t>organizēt un veikt savu saimniecisko darbību saskaņā ar LR spēkā esošo normatīvo aktu prasībām, patstāvīgi saņemt visas nepieciešamās atļaujas saimnieciskās darbības veikšanai, iekārtu un aprīkojumu lietošanai;</w:t>
      </w:r>
    </w:p>
    <w:p w14:paraId="00000051">
      <w:pPr>
        <w:numPr>
          <w:ilvl w:val="2"/>
          <w:numId w:val="2"/>
        </w:numPr>
        <w:ind w:left="0" w:hanging="2"/>
        <w:jc w:val="both"/>
        <w:rPr>
          <w:sz w:val="23"/>
          <w:szCs w:val="23"/>
        </w:rPr>
      </w:pPr>
      <w:r>
        <w:rPr>
          <w:sz w:val="23"/>
          <w:szCs w:val="23"/>
        </w:rPr>
        <w:t>ar savu darbību netraucēt ēku, kurā Nomas objekts atrodas, apmeklētāju mieru, netraucēt citus ēkas nomniekus un neapgrūtināt tiem nodoto telpu lietošanu;</w:t>
      </w:r>
    </w:p>
    <w:p w14:paraId="00000052">
      <w:pPr>
        <w:numPr>
          <w:ilvl w:val="2"/>
          <w:numId w:val="2"/>
        </w:numPr>
        <w:ind w:left="0" w:hanging="2"/>
        <w:jc w:val="both"/>
        <w:rPr>
          <w:sz w:val="23"/>
          <w:szCs w:val="23"/>
        </w:rPr>
      </w:pPr>
      <w:r>
        <w:rPr>
          <w:sz w:val="23"/>
          <w:szCs w:val="23"/>
        </w:rPr>
        <w:t>saudzīgi attiekties pret ēkām, kurā atrodas Nomas objekts, un tām piegulošajām teritorijām;</w:t>
      </w:r>
    </w:p>
    <w:p w14:paraId="00000053">
      <w:pPr>
        <w:numPr>
          <w:ilvl w:val="2"/>
          <w:numId w:val="2"/>
        </w:numPr>
        <w:ind w:left="0" w:hanging="2"/>
        <w:jc w:val="both"/>
        <w:rPr>
          <w:sz w:val="23"/>
          <w:szCs w:val="23"/>
        </w:rPr>
      </w:pPr>
      <w:r>
        <w:rPr>
          <w:sz w:val="23"/>
          <w:szCs w:val="23"/>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4">
      <w:pPr>
        <w:numPr>
          <w:ilvl w:val="2"/>
          <w:numId w:val="2"/>
        </w:numPr>
        <w:ind w:left="0" w:hanging="2"/>
        <w:jc w:val="both"/>
        <w:rPr>
          <w:sz w:val="23"/>
          <w:szCs w:val="23"/>
        </w:rPr>
      </w:pPr>
      <w:r>
        <w:rPr>
          <w:sz w:val="23"/>
          <w:szCs w:val="23"/>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5">
      <w:pPr>
        <w:numPr>
          <w:ilvl w:val="2"/>
          <w:numId w:val="2"/>
        </w:numPr>
        <w:ind w:left="0" w:hanging="2"/>
        <w:jc w:val="both"/>
        <w:rPr>
          <w:sz w:val="23"/>
          <w:szCs w:val="23"/>
        </w:rPr>
      </w:pPr>
      <w:r>
        <w:rPr>
          <w:sz w:val="23"/>
          <w:szCs w:val="23"/>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6">
      <w:pPr>
        <w:numPr>
          <w:ilvl w:val="2"/>
          <w:numId w:val="2"/>
        </w:numPr>
        <w:ind w:left="0" w:hanging="2"/>
        <w:jc w:val="both"/>
        <w:rPr>
          <w:sz w:val="23"/>
          <w:szCs w:val="23"/>
        </w:rPr>
      </w:pPr>
      <w:r>
        <w:rPr>
          <w:sz w:val="23"/>
          <w:szCs w:val="23"/>
        </w:rPr>
        <w:t xml:space="preserve">nepieciešamības gadījumā veikt Nomas objekta labiekārtošanu atbilstoši nomas mērķiem par saviem līdzekļiem, savlaicīgi saskaņojot to ar IZNOMĀTĀJU. </w:t>
      </w:r>
    </w:p>
    <w:p w14:paraId="00000057">
      <w:pPr>
        <w:numPr>
          <w:ilvl w:val="2"/>
          <w:numId w:val="2"/>
        </w:numPr>
        <w:ind w:left="0" w:hanging="2"/>
        <w:jc w:val="both"/>
        <w:rPr>
          <w:sz w:val="23"/>
          <w:szCs w:val="23"/>
        </w:rPr>
      </w:pPr>
      <w:r>
        <w:rPr>
          <w:sz w:val="23"/>
          <w:szCs w:val="23"/>
        </w:rPr>
        <w:t>netraucēt IZNOMĀTĀJAM vai tā pārstāvjiem veikt Nomas objekta tehnisko pārbaudi ar NOMNIEKU iepriekš saskaņotā laikā, nodrošinot NOMNIEKA pārstāvja piedalīšanos pārbaudes akta sastādīšanā un parakstīšanā.</w:t>
      </w:r>
    </w:p>
    <w:p w14:paraId="00000058">
      <w:pPr>
        <w:numPr>
          <w:ilvl w:val="2"/>
          <w:numId w:val="2"/>
        </w:numPr>
        <w:ind w:left="0" w:hanging="2"/>
        <w:jc w:val="both"/>
        <w:rPr>
          <w:sz w:val="23"/>
          <w:szCs w:val="23"/>
        </w:rPr>
      </w:pPr>
      <w:r>
        <w:rPr>
          <w:sz w:val="23"/>
          <w:szCs w:val="23"/>
        </w:rPr>
        <w:t>par saviem līdzekļiem veikt ēkas, kurā atrodas Nomas objekts, un/vai tai piegulošās teritorijas sakopšanas darbus, ja NOMNIEKA darbības rezultātā piegružota ēka vai tās apkārtne;</w:t>
      </w:r>
    </w:p>
    <w:p w14:paraId="00000059">
      <w:pPr>
        <w:numPr>
          <w:ilvl w:val="2"/>
          <w:numId w:val="2"/>
        </w:numPr>
        <w:ind w:left="0" w:hanging="2"/>
        <w:jc w:val="both"/>
        <w:rPr>
          <w:sz w:val="23"/>
          <w:szCs w:val="23"/>
        </w:rPr>
      </w:pPr>
      <w:r>
        <w:rPr>
          <w:sz w:val="23"/>
          <w:szCs w:val="23"/>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A">
      <w:pPr>
        <w:numPr>
          <w:ilvl w:val="2"/>
          <w:numId w:val="2"/>
        </w:numPr>
        <w:ind w:left="0" w:hanging="2"/>
        <w:jc w:val="both"/>
        <w:rPr>
          <w:sz w:val="23"/>
          <w:szCs w:val="23"/>
        </w:rPr>
      </w:pPr>
      <w:r>
        <w:rPr>
          <w:sz w:val="23"/>
          <w:szCs w:val="23"/>
        </w:rPr>
        <w:t>segt IZNOMĀTĀJAM visus zaudējumus, kuri radušies NOMNIEKA vai ar to saistīto trešo personu vainas vai neuzmanības dēļ.</w:t>
      </w:r>
    </w:p>
    <w:p w14:paraId="0000005B">
      <w:pPr>
        <w:ind w:left="0" w:hanging="2"/>
        <w:jc w:val="both"/>
        <w:rPr>
          <w:sz w:val="23"/>
          <w:szCs w:val="23"/>
        </w:rPr>
      </w:pPr>
    </w:p>
    <w:p w14:paraId="0000005C">
      <w:pPr>
        <w:numPr>
          <w:ilvl w:val="0"/>
          <w:numId w:val="2"/>
        </w:numPr>
        <w:ind w:left="0" w:hanging="2"/>
        <w:jc w:val="center"/>
        <w:rPr>
          <w:sz w:val="23"/>
          <w:szCs w:val="23"/>
        </w:rPr>
      </w:pPr>
      <w:r>
        <w:rPr>
          <w:b/>
          <w:sz w:val="23"/>
          <w:szCs w:val="23"/>
        </w:rPr>
        <w:t>PUŠU ATBILDĪBA</w:t>
      </w:r>
    </w:p>
    <w:p w14:paraId="0000005D">
      <w:pPr>
        <w:numPr>
          <w:ilvl w:val="1"/>
          <w:numId w:val="2"/>
        </w:numPr>
        <w:ind w:left="0" w:hanging="2"/>
        <w:jc w:val="both"/>
        <w:rPr>
          <w:sz w:val="23"/>
          <w:szCs w:val="23"/>
        </w:rPr>
      </w:pPr>
      <w:r>
        <w:rPr>
          <w:sz w:val="23"/>
          <w:szCs w:val="23"/>
        </w:rPr>
        <w:t>Puse atbild otrai Pusei par visiem zaudējumiem, ko tā ir nodarījusi otrai Pusei ar Līguma neizpildi vai nepienācīgu izpildi.</w:t>
      </w:r>
    </w:p>
    <w:p w14:paraId="0000005E">
      <w:pPr>
        <w:numPr>
          <w:ilvl w:val="1"/>
          <w:numId w:val="2"/>
        </w:numPr>
        <w:ind w:left="0" w:hanging="2"/>
        <w:jc w:val="both"/>
        <w:rPr>
          <w:sz w:val="23"/>
          <w:szCs w:val="23"/>
        </w:rPr>
      </w:pPr>
      <w:r>
        <w:rPr>
          <w:sz w:val="23"/>
          <w:szCs w:val="23"/>
        </w:rPr>
        <w:t xml:space="preserve">Par nomas maksas vai citu Līgumā paredzētu maksājumu samaksas termiņa nokavējumu, ja nokavējumā vainojams NOMNIEKS, IZNOMĀTĀJAM ir tiesības pieprasīt un tādā gadījumā NOMNIEKS maksā IZNOMĀTĀJAM nokavējuma procentus 0,5% </w:t>
      </w:r>
      <w:r>
        <w:rPr>
          <w:sz w:val="22"/>
          <w:szCs w:val="22"/>
        </w:rPr>
        <w:t xml:space="preserve">(nulle komats pieci procenti) </w:t>
      </w:r>
      <w:r>
        <w:rPr>
          <w:sz w:val="23"/>
          <w:szCs w:val="23"/>
        </w:rPr>
        <w:t>apmērā no kavētā maksājuma summas par katru nokavēto dienu.</w:t>
      </w:r>
    </w:p>
    <w:p w14:paraId="0000005F">
      <w:pPr>
        <w:numPr>
          <w:ilvl w:val="1"/>
          <w:numId w:val="2"/>
        </w:numPr>
        <w:ind w:left="0" w:hanging="2"/>
        <w:jc w:val="both"/>
        <w:rPr>
          <w:sz w:val="23"/>
          <w:szCs w:val="23"/>
        </w:rPr>
      </w:pPr>
      <w:r>
        <w:rPr>
          <w:sz w:val="23"/>
          <w:szCs w:val="23"/>
        </w:rPr>
        <w:t xml:space="preserve">Nokavējuma procentu samaksa neatbrīvo Pusi no saistību izpildes un zaudējumu atlīdzināšanas pienākuma. Zaudējumus Puses var prasīt normatīvajos aktos noteiktajā kārtībā. </w:t>
      </w:r>
    </w:p>
    <w:p w14:paraId="00000060">
      <w:pPr>
        <w:numPr>
          <w:ilvl w:val="1"/>
          <w:numId w:val="2"/>
        </w:numPr>
        <w:ind w:left="0" w:hanging="2"/>
        <w:jc w:val="both"/>
        <w:rPr>
          <w:sz w:val="23"/>
          <w:szCs w:val="23"/>
        </w:rPr>
      </w:pPr>
      <w:r>
        <w:rPr>
          <w:sz w:val="23"/>
          <w:szCs w:val="23"/>
        </w:rPr>
        <w:t>IZNOMĀTĀJAM ir tiesības piedzīt parādu normatīvajos aktos noteiktajā kārtībā vai nodot parāda piedziņas tiesības trešajai personai.</w:t>
      </w:r>
    </w:p>
    <w:p w14:paraId="00000061">
      <w:pPr>
        <w:numPr>
          <w:ilvl w:val="1"/>
          <w:numId w:val="2"/>
        </w:numPr>
        <w:ind w:left="0" w:hanging="2"/>
        <w:jc w:val="both"/>
        <w:rPr>
          <w:sz w:val="23"/>
          <w:szCs w:val="23"/>
        </w:rPr>
      </w:pPr>
      <w:r>
        <w:rPr>
          <w:sz w:val="23"/>
          <w:szCs w:val="23"/>
        </w:rPr>
        <w:t>NOMNIEKS ir atbildīgs par ugunsdrošību Nomas objektā.</w:t>
      </w:r>
    </w:p>
    <w:p w14:paraId="00000062">
      <w:pPr>
        <w:spacing w:line="240" w:lineRule="auto"/>
        <w:ind w:left="0" w:hanging="2"/>
        <w:rPr>
          <w:sz w:val="23"/>
          <w:szCs w:val="23"/>
        </w:rPr>
      </w:pPr>
    </w:p>
    <w:p w14:paraId="00000063">
      <w:pPr>
        <w:numPr>
          <w:ilvl w:val="0"/>
          <w:numId w:val="2"/>
        </w:numPr>
        <w:ind w:left="0" w:hanging="2"/>
        <w:jc w:val="center"/>
        <w:rPr>
          <w:sz w:val="23"/>
          <w:szCs w:val="23"/>
        </w:rPr>
      </w:pPr>
      <w:r>
        <w:rPr>
          <w:b/>
          <w:sz w:val="23"/>
          <w:szCs w:val="23"/>
        </w:rPr>
        <w:t>NEPĀRVARAMA VARA</w:t>
      </w:r>
    </w:p>
    <w:p w14:paraId="00000064">
      <w:pPr>
        <w:numPr>
          <w:ilvl w:val="1"/>
          <w:numId w:val="2"/>
        </w:numPr>
        <w:ind w:left="0" w:hanging="2"/>
        <w:jc w:val="both"/>
        <w:rPr>
          <w:sz w:val="23"/>
          <w:szCs w:val="23"/>
        </w:rPr>
      </w:pPr>
      <w:r>
        <w:rPr>
          <w:sz w:val="23"/>
          <w:szCs w:val="23"/>
        </w:rPr>
        <w:t xml:space="preserve"> Puse tiek atbrīvota no atbildības par Līguma neizpildi vai nepienācīgu izpildi, ja šāda neizpilde vai nepienācīga izpilde iestājusies nepārvaramas varas dēļ. Ar nepārvaramu varu saprot apstākļus, kuru iestāšanos Puse neparedzēja un nevarēja paredzēt Līguma noslēgšanas brīdī, un kas </w:t>
      </w:r>
      <w:r>
        <w:rPr>
          <w:sz w:val="23"/>
          <w:szCs w:val="23"/>
        </w:rPr>
        <w:t>nepakļaujas Pušu saprātīgai kontrolei. Pie šādiem apstākļiem pieskaitāmi ugunsgrēki, dabas stihijas, karadarbība, valsts varas un pārvaldes institūciju darbība u.c.</w:t>
      </w:r>
    </w:p>
    <w:p w14:paraId="00000065">
      <w:pPr>
        <w:numPr>
          <w:ilvl w:val="1"/>
          <w:numId w:val="2"/>
        </w:numPr>
        <w:ind w:left="0" w:hanging="2"/>
        <w:jc w:val="both"/>
        <w:rPr>
          <w:sz w:val="23"/>
          <w:szCs w:val="23"/>
        </w:rPr>
      </w:pPr>
      <w:r>
        <w:rPr>
          <w:sz w:val="23"/>
          <w:szCs w:val="23"/>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6">
      <w:pPr>
        <w:numPr>
          <w:ilvl w:val="1"/>
          <w:numId w:val="2"/>
        </w:numPr>
        <w:ind w:left="0" w:hanging="2"/>
        <w:jc w:val="both"/>
        <w:rPr>
          <w:sz w:val="23"/>
          <w:szCs w:val="23"/>
        </w:rPr>
      </w:pPr>
      <w:r>
        <w:rPr>
          <w:sz w:val="23"/>
          <w:szCs w:val="23"/>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7">
      <w:pPr>
        <w:ind w:left="0" w:hanging="2"/>
        <w:rPr>
          <w:sz w:val="23"/>
          <w:szCs w:val="23"/>
        </w:rPr>
      </w:pPr>
    </w:p>
    <w:p w14:paraId="00000068">
      <w:pPr>
        <w:numPr>
          <w:ilvl w:val="0"/>
          <w:numId w:val="2"/>
        </w:numPr>
        <w:ind w:left="0" w:hanging="2"/>
        <w:jc w:val="center"/>
        <w:rPr>
          <w:sz w:val="23"/>
          <w:szCs w:val="23"/>
        </w:rPr>
      </w:pPr>
      <w:r>
        <w:rPr>
          <w:b/>
          <w:sz w:val="23"/>
          <w:szCs w:val="23"/>
        </w:rPr>
        <w:t>CITI NOTEIKUMI</w:t>
      </w:r>
    </w:p>
    <w:p w14:paraId="00000069">
      <w:pPr>
        <w:numPr>
          <w:ilvl w:val="1"/>
          <w:numId w:val="7"/>
        </w:numPr>
        <w:ind w:left="0" w:hanging="2"/>
        <w:jc w:val="both"/>
        <w:rPr>
          <w:sz w:val="23"/>
          <w:szCs w:val="23"/>
        </w:rPr>
      </w:pPr>
      <w:r>
        <w:rPr>
          <w:sz w:val="23"/>
          <w:szCs w:val="23"/>
        </w:rPr>
        <w:t xml:space="preserve">Puses var grozīt un papildināt Līgumu, par to savstarpēji vienojoties. Šādi grozījumi un papildinājumi ir jānoformē </w:t>
      </w:r>
      <w:r>
        <w:rPr>
          <w:sz w:val="23"/>
          <w:szCs w:val="23"/>
        </w:rPr>
        <w:t>rakstveidā</w:t>
      </w:r>
      <w:r>
        <w:rPr>
          <w:sz w:val="23"/>
          <w:szCs w:val="23"/>
        </w:rPr>
        <w:t>, jāparaksta abām Pusēm un ir neatņemama Līguma sastāvdaļa. Izņēmums no šīs kārtības norādīts Līguma 3.2.punktā.</w:t>
      </w:r>
    </w:p>
    <w:p w14:paraId="0000006A">
      <w:pPr>
        <w:numPr>
          <w:ilvl w:val="1"/>
          <w:numId w:val="7"/>
        </w:numPr>
        <w:ind w:left="0" w:hanging="2"/>
        <w:jc w:val="both"/>
        <w:rPr>
          <w:sz w:val="23"/>
          <w:szCs w:val="23"/>
        </w:rPr>
      </w:pPr>
      <w:r>
        <w:rPr>
          <w:sz w:val="23"/>
          <w:szCs w:val="23"/>
        </w:rPr>
        <w:t xml:space="preserve">Par Līguma izpildi atbildīgā persona no IZNOMĀTĀJA puses ir </w:t>
      </w:r>
      <w:r>
        <w:rPr>
          <w:b/>
          <w:sz w:val="23"/>
          <w:szCs w:val="23"/>
        </w:rPr>
        <w:t>_________________</w:t>
      </w:r>
      <w:r>
        <w:rPr>
          <w:sz w:val="23"/>
          <w:szCs w:val="23"/>
        </w:rPr>
        <w:t>.</w:t>
      </w:r>
    </w:p>
    <w:p w14:paraId="0000006B">
      <w:pPr>
        <w:numPr>
          <w:ilvl w:val="1"/>
          <w:numId w:val="7"/>
        </w:numPr>
        <w:ind w:left="0" w:hanging="2"/>
        <w:jc w:val="both"/>
        <w:rPr>
          <w:sz w:val="22"/>
          <w:szCs w:val="22"/>
        </w:rPr>
      </w:pPr>
      <w:r>
        <w:rPr>
          <w:sz w:val="23"/>
          <w:szCs w:val="23"/>
        </w:rPr>
        <w:t xml:space="preserve">Par Līguma izpildi atbildīgā persona no NOMNIEKA puses ir </w:t>
      </w:r>
      <w:r>
        <w:rPr>
          <w:b/>
          <w:sz w:val="23"/>
          <w:szCs w:val="23"/>
        </w:rPr>
        <w:t>_____________________</w:t>
      </w:r>
      <w:r>
        <w:rPr>
          <w:sz w:val="23"/>
          <w:szCs w:val="23"/>
        </w:rPr>
        <w:t>.</w:t>
      </w:r>
    </w:p>
    <w:p w14:paraId="0000006C">
      <w:pPr>
        <w:numPr>
          <w:ilvl w:val="1"/>
          <w:numId w:val="7"/>
        </w:numPr>
        <w:ind w:left="0" w:hanging="2"/>
        <w:jc w:val="both"/>
        <w:rPr>
          <w:sz w:val="23"/>
          <w:szCs w:val="23"/>
        </w:rPr>
      </w:pPr>
      <w:r>
        <w:rPr>
          <w:sz w:val="23"/>
          <w:szCs w:val="23"/>
        </w:rPr>
        <w:t>Par Līguma izpildi atbildīgās personas ir pilnvarotas parakstīt telpu pieņemšanas – nodošanas aktus.</w:t>
      </w:r>
    </w:p>
    <w:p w14:paraId="0000006D">
      <w:pPr>
        <w:numPr>
          <w:ilvl w:val="1"/>
          <w:numId w:val="7"/>
        </w:numPr>
        <w:ind w:left="0" w:hanging="2"/>
        <w:jc w:val="both"/>
        <w:rPr>
          <w:sz w:val="23"/>
          <w:szCs w:val="23"/>
        </w:rPr>
      </w:pPr>
      <w:r>
        <w:rPr>
          <w:sz w:val="23"/>
          <w:szCs w:val="23"/>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6E">
      <w:pPr>
        <w:numPr>
          <w:ilvl w:val="1"/>
          <w:numId w:val="7"/>
        </w:numPr>
        <w:tabs>
          <w:tab w:val="left" w:pos="567"/>
        </w:tabs>
        <w:ind w:left="0" w:hanging="2"/>
        <w:jc w:val="both"/>
        <w:rPr>
          <w:sz w:val="23"/>
          <w:szCs w:val="23"/>
        </w:rPr>
      </w:pPr>
      <w:r>
        <w:rPr>
          <w:sz w:val="23"/>
          <w:szCs w:val="23"/>
        </w:rPr>
        <w:t>Tās Pušu attiecības, kuras nav atrunātas Līguma tekstā, tiek regulētas saskaņā ar LR spēkā esošajiem normatīvajiem aktiem.</w:t>
      </w:r>
    </w:p>
    <w:p w14:paraId="0000006F">
      <w:pPr>
        <w:numPr>
          <w:ilvl w:val="1"/>
          <w:numId w:val="7"/>
        </w:numPr>
        <w:tabs>
          <w:tab w:val="left" w:pos="567"/>
        </w:tabs>
        <w:ind w:left="0" w:hanging="2"/>
        <w:jc w:val="both"/>
        <w:rPr>
          <w:sz w:val="23"/>
          <w:szCs w:val="23"/>
        </w:rPr>
      </w:pPr>
      <w:r>
        <w:rPr>
          <w:sz w:val="23"/>
          <w:szCs w:val="23"/>
        </w:rPr>
        <w:t xml:space="preserve">Lai nodrošinātu pienācīgu ar Līgumu noteikto saistību izpildi, Pusēm ir pienākums 5 (piecu) kalendāro dienu laikā rakstiski brīdināt vienai otru par savas adreses vai citu rekvizītu maiņu. </w:t>
      </w:r>
    </w:p>
    <w:p w14:paraId="00000070">
      <w:pPr>
        <w:numPr>
          <w:ilvl w:val="1"/>
          <w:numId w:val="7"/>
        </w:numPr>
        <w:tabs>
          <w:tab w:val="left" w:pos="567"/>
        </w:tabs>
        <w:ind w:left="0" w:hanging="2"/>
        <w:jc w:val="both"/>
        <w:rPr>
          <w:sz w:val="23"/>
          <w:szCs w:val="23"/>
        </w:rPr>
      </w:pPr>
      <w:r>
        <w:rPr>
          <w:sz w:val="23"/>
          <w:szCs w:val="23"/>
        </w:rPr>
        <w:t xml:space="preserve">Ja kāds no Līguma noteikumiem zaudē spēku normatīvo aktu dēļ, pārējie Līguma noteikumi saglabā spēku. </w:t>
      </w:r>
    </w:p>
    <w:p w14:paraId="00000071">
      <w:pPr>
        <w:numPr>
          <w:ilvl w:val="1"/>
          <w:numId w:val="7"/>
        </w:numPr>
        <w:tabs>
          <w:tab w:val="left" w:pos="567"/>
        </w:tabs>
        <w:ind w:left="0" w:hanging="2"/>
        <w:jc w:val="both"/>
        <w:rPr>
          <w:sz w:val="23"/>
          <w:szCs w:val="23"/>
        </w:rPr>
      </w:pPr>
      <w:r>
        <w:rPr>
          <w:sz w:val="23"/>
          <w:szCs w:val="23"/>
        </w:rPr>
        <w:t xml:space="preserve">Līgums sastādīts un parakstīts uz 5 (piecām) lapām latviešu valodā 2 (divos) eksemplāros ar vienādu juridisku spēku, no kuriem viens glabājas pie IZNOMĀTĀJA un otrs pie NOMNIEKA. </w:t>
      </w:r>
    </w:p>
    <w:p w14:paraId="00000072">
      <w:pPr>
        <w:ind w:left="0" w:hanging="2"/>
        <w:rPr>
          <w:sz w:val="23"/>
          <w:szCs w:val="23"/>
        </w:rPr>
      </w:pPr>
    </w:p>
    <w:p w14:paraId="00000073">
      <w:pPr>
        <w:numPr>
          <w:ilvl w:val="0"/>
          <w:numId w:val="7"/>
        </w:numPr>
        <w:ind w:left="0" w:hanging="2"/>
        <w:jc w:val="center"/>
        <w:rPr>
          <w:sz w:val="23"/>
          <w:szCs w:val="23"/>
        </w:rPr>
      </w:pPr>
      <w:r>
        <w:rPr>
          <w:b/>
          <w:sz w:val="23"/>
          <w:szCs w:val="23"/>
        </w:rPr>
        <w:t>PUŠU PARAKSTI UN REKVIZĪTI</w:t>
      </w:r>
    </w:p>
    <w:p w14:paraId="00000074">
      <w:pPr>
        <w:numPr>
          <w:ilvl w:val="1"/>
          <w:numId w:val="9"/>
        </w:numPr>
        <w:ind w:left="0" w:hanging="2"/>
        <w:jc w:val="both"/>
        <w:rPr>
          <w:sz w:val="22"/>
          <w:szCs w:val="22"/>
        </w:rPr>
      </w:pPr>
      <w:r>
        <w:rPr>
          <w:sz w:val="23"/>
          <w:szCs w:val="23"/>
        </w:rPr>
        <w:t xml:space="preserve">IZNOMĀTĀJS: </w:t>
      </w:r>
      <w:r>
        <w:rPr>
          <w:sz w:val="22"/>
          <w:szCs w:val="22"/>
        </w:rPr>
        <w:t xml:space="preserve">Sabiedrība ar ierobežotu atbildību „Latvijas Nacionālais sporta centrs”, adrese: </w:t>
      </w:r>
      <w:r>
        <w:rPr>
          <w:sz w:val="22"/>
          <w:szCs w:val="22"/>
        </w:rPr>
        <w:t>Augšiela</w:t>
      </w:r>
      <w:r>
        <w:rPr>
          <w:sz w:val="22"/>
          <w:szCs w:val="22"/>
        </w:rPr>
        <w:t xml:space="preserve"> 1, Rīga, LV-1009, tālrunis 67844800, elektroniskā pasta adrese: </w:t>
      </w:r>
      <w:r>
        <w:rPr>
          <w:rStyle w:val="Hyperlink"/>
          <w:sz w:val="22"/>
          <w:szCs w:val="22"/>
        </w:rPr>
        <w:fldChar w:fldCharType="begin"/>
      </w:r>
      <w:r>
        <w:rPr>
          <w:rStyle w:val="Hyperlink"/>
          <w:sz w:val="22"/>
          <w:szCs w:val="22"/>
        </w:rPr>
        <w:instrText xml:space="preserve">HYPERLINK "mailto:info@lnsc.lv" </w:instrText>
      </w:r>
      <w:r>
        <w:rPr>
          <w:rStyle w:val="Hyperlink"/>
          <w:sz w:val="22"/>
          <w:szCs w:val="22"/>
        </w:rPr>
        <w:fldChar w:fldCharType="separate"/>
      </w:r>
      <w:r>
        <w:rPr>
          <w:rStyle w:val="Hyperlink"/>
          <w:sz w:val="22"/>
          <w:szCs w:val="22"/>
        </w:rPr>
        <w:t>info@lnsc.lv</w:t>
      </w:r>
      <w:r>
        <w:rPr>
          <w:sz w:val="22"/>
          <w:szCs w:val="22"/>
        </w:rPr>
        <w:fldChar w:fldCharType="end"/>
      </w:r>
      <w:r>
        <w:rPr>
          <w:sz w:val="22"/>
          <w:szCs w:val="22"/>
        </w:rPr>
        <w:t xml:space="preserve">, </w:t>
      </w:r>
      <w:r>
        <w:rPr>
          <w:sz w:val="22"/>
          <w:szCs w:val="22"/>
        </w:rPr>
        <w:t>reģ</w:t>
      </w:r>
      <w:r>
        <w:rPr>
          <w:sz w:val="22"/>
          <w:szCs w:val="22"/>
        </w:rPr>
        <w:t>. Nr.LV50003140671, konts: LV87PARX0013628260001, AS “Citadele banka”, bankas kods: PARXLV22.</w:t>
      </w:r>
    </w:p>
    <w:p w14:paraId="00000075">
      <w:pPr>
        <w:numPr>
          <w:ilvl w:val="1"/>
          <w:numId w:val="9"/>
        </w:numPr>
        <w:ind w:left="0" w:hanging="2"/>
        <w:jc w:val="both"/>
        <w:rPr>
          <w:sz w:val="23"/>
          <w:szCs w:val="23"/>
        </w:rPr>
      </w:pPr>
      <w:r>
        <w:rPr>
          <w:sz w:val="23"/>
          <w:szCs w:val="23"/>
        </w:rPr>
        <w:t xml:space="preserve">NOMNIEKS: </w:t>
      </w:r>
      <w:r>
        <w:rPr>
          <w:sz w:val="23"/>
          <w:szCs w:val="23"/>
        </w:rPr>
        <w:t xml:space="preserve">_____________________. </w:t>
      </w:r>
    </w:p>
    <w:p w14:paraId="00000076">
      <w:pPr>
        <w:ind w:left="0" w:firstLine="0"/>
        <w:jc w:val="both"/>
        <w:rPr>
          <w:sz w:val="23"/>
          <w:szCs w:val="23"/>
        </w:rPr>
      </w:pPr>
    </w:p>
    <w:p w14:paraId="00000077">
      <w:pPr>
        <w:ind w:left="0" w:firstLine="0"/>
        <w:jc w:val="both"/>
        <w:rPr>
          <w:sz w:val="23"/>
          <w:szCs w:val="23"/>
        </w:rPr>
      </w:pPr>
    </w:p>
    <w:p w14:paraId="00000078">
      <w:pPr>
        <w:ind w:left="0" w:firstLine="0"/>
        <w:jc w:val="both"/>
        <w:rPr>
          <w:sz w:val="23"/>
          <w:szCs w:val="23"/>
        </w:rPr>
      </w:pPr>
    </w:p>
    <w:p w14:paraId="00000079">
      <w:pPr>
        <w:ind w:left="0" w:firstLine="0"/>
        <w:jc w:val="both"/>
        <w:rPr>
          <w:sz w:val="23"/>
          <w:szCs w:val="23"/>
        </w:rPr>
      </w:pPr>
    </w:p>
    <w:p w14:paraId="0000007A">
      <w:pPr>
        <w:tabs>
          <w:tab w:val="left" w:pos="4536"/>
        </w:tabs>
        <w:ind w:left="0" w:hanging="2"/>
        <w:jc w:val="both"/>
        <w:rPr>
          <w:sz w:val="23"/>
          <w:szCs w:val="23"/>
        </w:rPr>
      </w:pPr>
      <w:r>
        <w:rPr>
          <w:sz w:val="23"/>
          <w:szCs w:val="23"/>
        </w:rPr>
        <w:tab/>
        <w:t xml:space="preserve">       IZNOMĀTĀJS:</w:t>
      </w:r>
      <w:r>
        <w:rPr>
          <w:sz w:val="23"/>
          <w:szCs w:val="23"/>
        </w:rPr>
        <w:tab/>
      </w:r>
      <w:r>
        <w:rPr>
          <w:sz w:val="23"/>
          <w:szCs w:val="23"/>
        </w:rPr>
        <w:tab/>
        <w:t>NOMNIEKS:</w:t>
      </w:r>
    </w:p>
    <w:p w14:paraId="0000007B">
      <w:pPr>
        <w:ind w:left="0" w:hanging="2"/>
        <w:jc w:val="both"/>
        <w:rPr>
          <w:sz w:val="23"/>
          <w:szCs w:val="23"/>
        </w:rPr>
      </w:pPr>
    </w:p>
    <w:p w14:paraId="0000007C">
      <w:pPr>
        <w:tabs>
          <w:tab w:val="left" w:pos="4536"/>
        </w:tabs>
        <w:ind w:left="0" w:hanging="2"/>
        <w:jc w:val="both"/>
        <w:rPr>
          <w:sz w:val="23"/>
          <w:szCs w:val="23"/>
        </w:rPr>
      </w:pPr>
      <w:r>
        <w:rPr>
          <w:sz w:val="23"/>
          <w:szCs w:val="23"/>
        </w:rPr>
        <w:t xml:space="preserve">       __________________</w:t>
      </w:r>
      <w:r>
        <w:rPr>
          <w:sz w:val="23"/>
          <w:szCs w:val="23"/>
        </w:rPr>
        <w:tab/>
      </w:r>
      <w:r>
        <w:rPr>
          <w:sz w:val="23"/>
          <w:szCs w:val="23"/>
        </w:rPr>
        <w:tab/>
        <w:t>____________________</w:t>
      </w:r>
    </w:p>
    <w:p w14:paraId="0000007D">
      <w:pPr>
        <w:ind w:left="0" w:hanging="2"/>
        <w:jc w:val="both"/>
        <w:rPr>
          <w:sz w:val="23"/>
          <w:szCs w:val="23"/>
        </w:rPr>
      </w:pPr>
      <w:r>
        <w:rPr>
          <w:sz w:val="23"/>
          <w:szCs w:val="23"/>
        </w:rPr>
        <w:t xml:space="preserve">       D. Nātriņš</w:t>
      </w:r>
      <w:r>
        <w:rPr>
          <w:sz w:val="23"/>
          <w:szCs w:val="23"/>
        </w:rPr>
        <w:tab/>
      </w:r>
      <w:r>
        <w:rPr>
          <w:sz w:val="23"/>
          <w:szCs w:val="23"/>
        </w:rPr>
        <w:tab/>
      </w:r>
      <w:r>
        <w:rPr>
          <w:sz w:val="23"/>
          <w:szCs w:val="23"/>
        </w:rPr>
        <w:tab/>
      </w:r>
      <w:r>
        <w:rPr>
          <w:sz w:val="23"/>
          <w:szCs w:val="23"/>
        </w:rPr>
        <w:tab/>
        <w:t xml:space="preserve">            </w:t>
      </w:r>
      <w:r>
        <w:rPr>
          <w:sz w:val="23"/>
          <w:szCs w:val="23"/>
        </w:rPr>
        <w:tab/>
      </w:r>
      <w:r>
        <w:rPr>
          <w:sz w:val="23"/>
          <w:szCs w:val="23"/>
        </w:rPr>
        <w:tab/>
      </w:r>
    </w:p>
    <w:p w14:paraId="0000007E">
      <w:pPr>
        <w:ind w:left="0" w:hanging="2"/>
        <w:jc w:val="both"/>
        <w:rPr>
          <w:sz w:val="23"/>
          <w:szCs w:val="23"/>
        </w:rPr>
      </w:pPr>
      <w:r>
        <w:rPr>
          <w:sz w:val="23"/>
          <w:szCs w:val="23"/>
        </w:rPr>
        <w:t xml:space="preserve">       valdes </w:t>
      </w:r>
      <w:r>
        <w:rPr>
          <w:sz w:val="23"/>
          <w:szCs w:val="23"/>
        </w:rPr>
        <w:t>priekšēdētājs</w:t>
      </w:r>
      <w:r>
        <w:rPr>
          <w:sz w:val="23"/>
          <w:szCs w:val="23"/>
        </w:rPr>
        <w:tab/>
      </w:r>
      <w:r>
        <w:rPr>
          <w:sz w:val="23"/>
          <w:szCs w:val="23"/>
        </w:rPr>
        <w:tab/>
      </w:r>
      <w:r>
        <w:rPr>
          <w:sz w:val="23"/>
          <w:szCs w:val="23"/>
        </w:rPr>
        <w:tab/>
        <w:t xml:space="preserve">                            </w:t>
      </w:r>
      <w:r>
        <w:rPr>
          <w:sz w:val="23"/>
          <w:szCs w:val="23"/>
        </w:rPr>
        <w:tab/>
      </w:r>
      <w:r>
        <w:rPr>
          <w:sz w:val="23"/>
          <w:szCs w:val="23"/>
        </w:rPr>
        <w:tab/>
      </w:r>
      <w:r>
        <w:rPr>
          <w:sz w:val="23"/>
          <w:szCs w:val="23"/>
        </w:rPr>
        <w:tab/>
      </w:r>
      <w:r>
        <w:rPr>
          <w:sz w:val="23"/>
          <w:szCs w:val="23"/>
        </w:rPr>
        <w:tab/>
        <w:t xml:space="preserve">                                  </w:t>
      </w:r>
    </w:p>
    <w:p w14:paraId="0000007F">
      <w:pPr>
        <w:tabs>
          <w:tab w:val="left" w:pos="5105"/>
        </w:tabs>
        <w:ind w:left="0" w:hanging="2"/>
        <w:jc w:val="both"/>
        <w:rPr>
          <w:sz w:val="23"/>
          <w:szCs w:val="23"/>
        </w:rPr>
      </w:pPr>
    </w:p>
    <w:p w14:paraId="00000080">
      <w:pPr>
        <w:ind w:left="0" w:hanging="2"/>
        <w:jc w:val="both"/>
        <w:rPr>
          <w:sz w:val="23"/>
          <w:szCs w:val="23"/>
        </w:rPr>
      </w:pPr>
    </w:p>
    <w:p w14:paraId="00000081">
      <w:pPr>
        <w:ind w:left="0" w:hanging="2"/>
        <w:jc w:val="both"/>
        <w:rPr>
          <w:sz w:val="23"/>
          <w:szCs w:val="23"/>
        </w:rPr>
      </w:pPr>
    </w:p>
    <w:p w14:paraId="00000082">
      <w:pPr>
        <w:ind w:left="0" w:hanging="2"/>
        <w:jc w:val="both"/>
        <w:rPr>
          <w:sz w:val="23"/>
          <w:szCs w:val="23"/>
        </w:rPr>
      </w:pPr>
    </w:p>
    <w:p w14:paraId="00000083">
      <w:pPr>
        <w:ind w:left="0" w:hanging="2"/>
        <w:jc w:val="both"/>
        <w:rPr>
          <w:sz w:val="23"/>
          <w:szCs w:val="23"/>
        </w:rPr>
      </w:pPr>
    </w:p>
    <w:p w14:paraId="00000084">
      <w:pPr>
        <w:ind w:left="0" w:hanging="2"/>
        <w:jc w:val="center"/>
        <w:rPr>
          <w:b/>
          <w:sz w:val="23"/>
          <w:szCs w:val="23"/>
        </w:rPr>
      </w:pPr>
    </w:p>
    <w:p w14:paraId="00000085">
      <w:pPr>
        <w:ind w:left="0" w:hanging="2"/>
        <w:rPr>
          <w:rFonts w:ascii="Arial" w:cs="Arial" w:eastAsia="Arial" w:hAnsi="Arial"/>
          <w:color w:val="222222"/>
          <w:sz w:val="22"/>
          <w:szCs w:val="22"/>
          <w:highlight w:val="white"/>
        </w:rPr>
      </w:pPr>
    </w:p>
    <w:p w14:paraId="00000086">
      <w:pPr>
        <w:ind w:left="0" w:hanging="2"/>
        <w:rPr/>
      </w:pPr>
    </w:p>
    <w:p w14:paraId="00000087">
      <w:pPr>
        <w:ind w:left="0" w:hanging="2"/>
        <w:rPr/>
      </w:pPr>
    </w:p>
    <w:p w14:paraId="00000088"/>
    <w:p w14:paraId="00000089"/>
    <w:p w14:paraId="0000008A"/>
    <w:p w14:paraId="0000008B"/>
    <w:p w14:paraId="0000008C"/>
    <w:p w14:paraId="0000008D"/>
    <w:p w14:paraId="0000008E"/>
    <w:p w14:paraId="0000008F"/>
    <w:p w14:paraId="00000090"/>
    <w:p w14:paraId="00000091"/>
    <w:p w14:paraId="00000092"/>
    <w:p w14:paraId="00000093"/>
    <w:p w14:paraId="00000094"/>
    <w:p w14:paraId="00000095"/>
    <w:p w14:paraId="00000096"/>
    <w:p w14:paraId="00000097"/>
    <w:p w14:paraId="00000098"/>
    <w:p w14:paraId="00000099"/>
    <w:p w14:paraId="0000009A"/>
    <w:p w14:paraId="0000009B"/>
    <w:p w14:paraId="0000009C"/>
    <w:p w14:paraId="0000009D"/>
    <w:p w14:paraId="0000009E"/>
    <w:p w14:paraId="0000009F"/>
    <w:p w14:paraId="000000A0"/>
    <w:p w14:paraId="000000A1"/>
    <w:p w14:paraId="000000A2"/>
    <w:p w14:paraId="000000A3">
      <w:pPr>
        <w:tabs>
          <w:tab w:val="left" w:leader="none" w:pos="233"/>
        </w:tabs>
        <w:rPr/>
      </w:pPr>
      <w:r>
        <w:tab/>
      </w:r>
    </w:p>
    <w:p w14:paraId="000000A4">
      <w:pPr>
        <w:tabs>
          <w:tab w:val="left" w:leader="none" w:pos="233"/>
        </w:tabs>
        <w:rPr/>
      </w:pPr>
    </w:p>
    <w:p w14:paraId="000000A5">
      <w:pPr>
        <w:tabs>
          <w:tab w:val="left" w:leader="none" w:pos="233"/>
        </w:tabs>
        <w:rPr/>
      </w:pPr>
    </w:p>
    <w:p w14:paraId="000000A6">
      <w:pPr>
        <w:tabs>
          <w:tab w:val="left" w:leader="none" w:pos="233"/>
        </w:tabs>
        <w:rPr/>
      </w:pPr>
    </w:p>
    <w:p w14:paraId="000000A7">
      <w:pPr>
        <w:tabs>
          <w:tab w:val="left" w:leader="none" w:pos="233"/>
        </w:tabs>
        <w:rPr/>
      </w:pPr>
    </w:p>
    <w:p w14:paraId="000000A8">
      <w:pPr>
        <w:tabs>
          <w:tab w:val="left" w:leader="none" w:pos="233"/>
        </w:tabs>
        <w:rPr/>
      </w:pPr>
    </w:p>
    <w:p w14:paraId="000000A9">
      <w:pPr>
        <w:tabs>
          <w:tab w:val="left" w:leader="none" w:pos="233"/>
        </w:tabs>
        <w:rPr/>
      </w:pPr>
    </w:p>
    <w:p w14:paraId="000000AA">
      <w:pPr>
        <w:tabs>
          <w:tab w:val="left" w:leader="none" w:pos="233"/>
        </w:tabs>
        <w:rPr/>
      </w:pPr>
    </w:p>
    <w:p w14:paraId="000000AB">
      <w:pPr>
        <w:ind w:left="0" w:hanging="2"/>
        <w:jc w:val="right"/>
        <w:rPr>
          <w:sz w:val="23"/>
          <w:szCs w:val="23"/>
        </w:rPr>
      </w:pPr>
      <w:r>
        <w:rPr>
          <w:sz w:val="23"/>
          <w:szCs w:val="23"/>
        </w:rPr>
        <w:t>Nomas līguma Nr.____1.pielikums</w:t>
      </w:r>
    </w:p>
    <w:p w14:paraId="000000AC">
      <w:pPr>
        <w:tabs>
          <w:tab w:val="left" w:pos="353"/>
        </w:tabs>
        <w:ind w:left="720" w:firstLine="0"/>
        <w:jc w:val="right"/>
        <w:rPr/>
      </w:pPr>
    </w:p>
    <w:p w14:paraId="000000AD">
      <w:pPr>
        <w:ind w:left="0" w:hanging="2"/>
        <w:jc w:val="center"/>
        <w:rPr>
          <w:sz w:val="23"/>
          <w:szCs w:val="23"/>
        </w:rPr>
      </w:pPr>
      <w:r>
        <w:rPr>
          <w:b/>
          <w:sz w:val="23"/>
          <w:szCs w:val="23"/>
        </w:rPr>
        <w:t>NOMAS OBJEKTA NOVIETOJUMA PLĀNS</w:t>
      </w:r>
    </w:p>
    <w:p w14:paraId="000000AE">
      <w:pPr>
        <w:tabs>
          <w:tab w:val="left" w:leader="none" w:pos="233"/>
        </w:tabs>
        <w:jc w:val="right"/>
        <w:rPr/>
      </w:pPr>
    </w:p>
    <w:p w14:paraId="000000AF">
      <w:pPr>
        <w:tabs>
          <w:tab w:val="left" w:leader="none" w:pos="233"/>
        </w:tabs>
        <w:jc w:val="center"/>
        <w:rPr/>
      </w:pPr>
      <w:r>
        <w:rPr/>
        <w:drawing xmlns:mc="http://schemas.openxmlformats.org/markup-compatibility/2006">
          <wp:inline distT="0" distB="0" distL="0" distR="0">
            <wp:extent cx="5760720" cy="3308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rcRect/>
                    <a:stretch>
                      <a:fillRect/>
                    </a:stretch>
                  </pic:blipFill>
                  <pic:spPr>
                    <a:xfrm>
                      <a:off x="0" y="0"/>
                      <a:ext cx="5760720" cy="3308985"/>
                    </a:xfrm>
                    <a:prstGeom prst="rect">
                      <a:avLst/>
                    </a:prstGeom>
                  </pic:spPr>
                </pic:pic>
              </a:graphicData>
            </a:graphic>
          </wp:inline>
        </w:drawing>
      </w:r>
    </w:p>
    <w:sectPr>
      <w:headerReference w:type="default" r:id="rId15"/>
      <w:pgSz w:w="11906" w:h="16838"/>
      <w:pgMar w:top="709" w:right="1133" w:bottom="1276" w:left="1701" w:header="709" w:footer="709"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Arial">
    <w:panose1 w:val="020b060402020202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B0">
    <w:pPr>
      <w:pBdr>
        <w:top w:val="nil" w:sz="4" w:space="0"/>
        <w:left w:val="nil" w:sz="4" w:space="0"/>
        <w:bottom w:val="nil" w:sz="4" w:space="0"/>
        <w:right w:val="nil" w:sz="4" w:space="0"/>
        <w:between w:val="nil" w:sz="4" w:space="0"/>
      </w:pBdr>
      <w:tabs>
        <w:tab w:val="center" w:pos="4153"/>
        <w:tab w:val="right" w:pos="8306"/>
      </w:tabs>
      <w:spacing w:line="240" w:lineRule="auto"/>
      <w:ind w:left="0" w:hanging="2"/>
      <w:jc w:val="center"/>
      <w:rPr>
        <w:color w:val="000000"/>
        <w:sz w:val="23"/>
        <w:szCs w:val="23"/>
      </w:rPr>
    </w:pPr>
    <w:r>
      <w:rPr>
        <w:color w:val="000000"/>
        <w:sz w:val="23"/>
        <w:szCs w:val="23"/>
      </w:rPr>
      <w:fldChar w:fldCharType="begin"/>
    </w:r>
    <w:r>
      <w:rPr>
        <w:color w:val="000000"/>
        <w:sz w:val="23"/>
        <w:szCs w:val="23"/>
      </w:rPr>
      <w:instrText xml:space="preserve">PAGE</w:instrText>
    </w:r>
    <w:r>
      <w:rPr>
        <w:color w:val="000000"/>
        <w:sz w:val="23"/>
        <w:szCs w:val="23"/>
      </w:rPr>
      <w:fldChar w:fldCharType="separate"/>
    </w:r>
    <w:r>
      <w:rPr>
        <w:color w:val="000000"/>
        <w:sz w:val="23"/>
        <w:szCs w:val="23"/>
      </w:rPr>
      <w:t>2</w:t>
    </w:r>
    <w:r>
      <w:rPr>
        <w:color w:val="000000"/>
        <w:sz w:val="23"/>
        <w:szCs w:val="23"/>
      </w:rPr>
      <w:fldChar w:fldCharType="end"/>
    </w:r>
  </w:p>
  <w:p w14:paraId="000000B1">
    <w:pPr>
      <w:pBdr>
        <w:top w:val="nil" w:sz="4" w:space="0"/>
        <w:left w:val="nil" w:sz="4" w:space="0"/>
        <w:bottom w:val="nil" w:sz="4" w:space="0"/>
        <w:right w:val="nil" w:sz="4" w:space="0"/>
        <w:between w:val="nil" w:sz="4" w:space="0"/>
      </w:pBdr>
      <w:tabs>
        <w:tab w:val="center" w:pos="4153"/>
        <w:tab w:val="right" w:pos="8306"/>
      </w:tabs>
      <w:spacing w:line="240" w:lineRule="auto"/>
      <w:ind w:left="0" w:hanging="2"/>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2"/>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
    <w:multiLevelType w:val="multilevel"/>
    <w:lvl w:ilvl="0" w:tentative="0">
      <w:start w:val="7"/>
      <w:numFmt w:val="decimal"/>
      <w:lvlText w:val="9."/>
      <w:lvlJc w:val="left"/>
      <w:pPr>
        <w:ind w:left="360" w:hanging="360"/>
      </w:pPr>
      <w:rPr>
        <w:vertAlign w:val="baseline"/>
      </w:rPr>
    </w:lvl>
    <w:lvl w:ilvl="1" w:tentative="0">
      <w:start w:val="1"/>
      <w:numFmt w:val="decimal"/>
      <w:lvlText w:val="8.%2."/>
      <w:lvlJc w:val="left"/>
      <w:pPr>
        <w:ind w:left="360" w:hanging="360"/>
      </w:pPr>
      <w:rPr>
        <w:rFonts w:ascii="Times New Roman" w:cs="Times New Roman" w:eastAsia="Times New Roman" w:hAnsi="Times New Roman"/>
        <w:b w:val="off"/>
        <w:sz w:val="23"/>
        <w:szCs w:val="23"/>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2">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1353" w:hanging="359"/>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3">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3.%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4">
    <w:multiLevelType w:val="multilevel"/>
    <w:lvl w:ilvl="0" w:tentative="0">
      <w:start w:val="1"/>
      <w:numFmt w:val="decimal"/>
      <w:lvlText w:val="%1."/>
      <w:lvlJc w:val="left"/>
      <w:pPr>
        <w:ind w:left="360" w:hanging="360"/>
      </w:pPr>
      <w:rPr>
        <w:b/>
        <w:vertAlign w:val="baseline"/>
      </w:rPr>
    </w:lvl>
    <w:lvl w:ilvl="1" w:tentative="0">
      <w:start w:val="2"/>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upperLetter"/>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5">
    <w:multiLevelType w:val="multilevel"/>
    <w:lvl w:ilvl="0" w:tentative="0">
      <w:start w:val="4"/>
      <w:numFmt w:val="decimal"/>
      <w:lvlText w:val="%1."/>
      <w:lvlJc w:val="left"/>
      <w:pPr>
        <w:ind w:left="360" w:hanging="360"/>
      </w:pPr>
      <w:rPr>
        <w:vertAlign w:val="baseline"/>
      </w:rPr>
    </w:lvl>
    <w:lvl w:ilvl="1" w:tentative="0">
      <w:start w:val="1"/>
      <w:numFmt w:val="decimal"/>
      <w:lvlText w:val="%1.%2."/>
      <w:lvlJc w:val="left"/>
      <w:pPr>
        <w:ind w:left="1211"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6">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7">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8">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9">
    <w:multiLevelType w:val="multilevel"/>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0">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1">
    <w:multiLevelType w:val="multilevel"/>
    <w:lvl w:ilvl="0" w:tentative="0">
      <w:start w:val="5"/>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2">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4.%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num w:numId="1">
    <w:abstractNumId w:val="12"/>
  </w:num>
  <w:num w:numId="2">
    <w:abstractNumId w:val="11"/>
  </w:num>
  <w:num w:numId="3">
    <w:abstractNumId w:val="2"/>
  </w:num>
  <w:num w:numId="4">
    <w:abstractNumId w:val="4"/>
  </w:num>
  <w:num w:numId="5">
    <w:abstractNumId w:val="5"/>
  </w:num>
  <w:num w:numId="6">
    <w:abstractNumId w:val="7"/>
  </w:num>
  <w:num w:numId="7">
    <w:abstractNumId w:val="1"/>
  </w:num>
  <w:num w:numId="8">
    <w:abstractNumId w:val="6"/>
  </w:num>
  <w:num w:numId="9">
    <w:abstractNumId w:val="9"/>
  </w:num>
  <w:num w:numId="10">
    <w:abstractNumId w:val="0"/>
  </w:num>
  <w:num w:numId="11">
    <w:abstractNumId w:val="8"/>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CE"/>
    <w:rsid w:val="000631CE"/>
    <w:rsid w:val="00643C1C"/>
    <w:rsid w:val="00CC25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2D79"/>
  <w15:chartTrackingRefBased/>
  <w15:docId w15:val="{E2E4F543-ACAE-40F4-88D6-CB4ADBAD8DC3}"/>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pPr>
      <w:spacing w:after="0" w:line="1" w:lineRule="atLeast"/>
      <w:ind w:left="-1" w:hanging="1"/>
    </w:pPr>
    <w:rPr>
      <w:rFonts w:ascii="Times New Roman" w:cs="Times New Roman" w:eastAsia="Times New Roman" w:hAnsi="Times New Roman"/>
      <w:position w:val="-1"/>
      <w:sz w:val="24"/>
      <w:szCs w:val="24"/>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Title">
    <w:name w:val="Title"/>
    <w:basedOn w:val="Normal"/>
    <w:link w:val="TitleChar"/>
    <w:uiPriority w:val="10"/>
    <w:qFormat w:val="on"/>
    <w:pPr>
      <w:jc w:val="center"/>
    </w:pPr>
    <w:rPr>
      <w:b/>
      <w:bCs/>
      <w:color w:val="000000"/>
      <w:sz w:val="22"/>
    </w:rPr>
  </w:style>
  <w:style w:type="character" w:customStyle="1" w:styleId="TitleChar">
    <w:name w:val="Title Char"/>
    <w:basedOn w:val="DefaultParagraphFont"/>
    <w:link w:val="Title"/>
    <w:uiPriority w:val="10"/>
    <w:rPr>
      <w:rFonts w:ascii="Times New Roman" w:cs="Times New Roman" w:eastAsia="Times New Roman" w:hAnsi="Times New Roman"/>
      <w:b/>
      <w:bCs/>
      <w:color w:val="000000"/>
      <w:position w:val="-1"/>
      <w:szCs w:val="24"/>
    </w:rPr>
  </w:style>
  <w:style w:type="character" w:styleId="Hyperlink">
    <w:name w:val="Hyperlink"/>
    <w:uiPriority w:val="99"/>
    <w:rPr>
      <w:color w:val="0000ff"/>
      <w:w w:val="100"/>
      <w:position w:val="-1"/>
      <w:u w:val="single"/>
      <w:vertAlign w:val="baseline"/>
      <w:cs w:val="off"/>
    </w:rPr>
  </w:style>
  <w:style w:type="character" w:customStyle="1" w:styleId="Noklusējumarindkopasfonts1">
    <w:name w:val="Noklusējuma rindkopas fonts1"/>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4" Type="http://schemas.openxmlformats.org/officeDocument/2006/relationships/image" Target="media/image1.png"/><Relationship Id="rId15"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hyperlink" Target="mailto:info@fsmasters.lv" TargetMode="External"/><Relationship Id="rId6" Type="http://schemas.openxmlformats.org/officeDocument/2006/relationships/hyperlink" Target="mailto:info@lnsc.lv" TargetMode="External"/></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10729</Words>
  <Characters>6117</Characters>
  <Application>Microsoft Office Word</Application>
  <DocSecurity>0</DocSecurity>
  <Lines>50</Lines>
  <Paragraphs>33</Paragraphs>
  <ScaleCrop>false</ScaleCrop>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