
<file path=[Content_Types].xml><?xml version="1.0" encoding="utf-8"?>
<Types xmlns="http://schemas.openxmlformats.org/package/2006/content-types">
  <Default Extension="xml" ContentType="application/xml"/>
  <Default Extension="rels" ContentType="application/vnd.openxmlformats-package.relationship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14:paraId="00000005">
      <w:pPr>
        <w:tabs>
          <w:tab w:val="left" w:pos="8080"/>
        </w:tabs>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Pr>
        <w:t>APSTIPRINĀTS</w:t>
      </w:r>
    </w:p>
    <w:p w14:paraId="00000006">
      <w:pPr>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Pr>
        <w:t>SIA  “</w:t>
      </w:r>
      <w:r>
        <w:rPr>
          <w:rFonts w:ascii="Times New Roman" w:cs="Times New Roman" w:eastAsia="Times New Roman" w:hAnsi="Times New Roman"/>
          <w:color w:val="000000"/>
        </w:rPr>
        <w:t>Latvijas Nacionālais sporta centrs”</w:t>
      </w:r>
    </w:p>
    <w:p w14:paraId="00000007">
      <w:pPr>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Pr>
        <w:t>Nekustamā īpašuma komisijas 2026.gada 3</w:t>
      </w:r>
      <w:r>
        <w:rPr>
          <w:rFonts w:ascii="Times New Roman" w:cs="Times New Roman" w:eastAsia="Times New Roman" w:hAnsi="Times New Roman"/>
          <w:sz w:val="20"/>
          <w:szCs w:val="20"/>
        </w:rPr>
        <w:t>. jūlija</w:t>
      </w:r>
      <w:r>
        <w:rPr>
          <w:rFonts w:ascii="Times New Roman" w:cs="Times New Roman" w:eastAsia="Times New Roman" w:hAnsi="Times New Roman"/>
          <w:sz w:val="20"/>
          <w:szCs w:val="20"/>
        </w:rPr>
        <w:t xml:space="preserve"> sēdē</w:t>
      </w:r>
    </w:p>
    <w:p w14:paraId="00000008">
      <w:pPr>
        <w:spacing w:after="0"/>
        <w:jc w:val="right"/>
        <w:rPr>
          <w:rFonts w:ascii="Times New Roman" w:cs="Times New Roman" w:eastAsia="Times New Roman" w:hAnsi="Times New Roman"/>
          <w:sz w:val="20"/>
          <w:szCs w:val="20"/>
          <w:shd w:val="clear" w:color="auto" w:fill="efefef"/>
        </w:rPr>
      </w:pPr>
      <w:r>
        <w:rPr>
          <w:rFonts w:ascii="Times New Roman" w:cs="Times New Roman" w:eastAsia="Times New Roman" w:hAnsi="Times New Roman"/>
          <w:sz w:val="20"/>
          <w:szCs w:val="20"/>
        </w:rPr>
        <w:t>Protokols Nr.1-17.1/18</w:t>
      </w:r>
    </w:p>
    <w:p w14:paraId="00000009">
      <w:pPr>
        <w:spacing w:after="0"/>
        <w:jc w:val="right"/>
        <w:rPr>
          <w:rFonts w:ascii="Times New Roman" w:cs="Times New Roman" w:eastAsia="Times New Roman" w:hAnsi="Times New Roman"/>
        </w:rPr>
      </w:pPr>
    </w:p>
    <w:p w14:paraId="0000000A">
      <w:pPr>
        <w:spacing w:after="0"/>
        <w:jc w:val="right"/>
        <w:rPr>
          <w:rFonts w:ascii="Times New Roman" w:cs="Times New Roman" w:eastAsia="Times New Roman" w:hAnsi="Times New Roman"/>
        </w:rPr>
      </w:pPr>
    </w:p>
    <w:p w14:paraId="0000000B">
      <w:pPr>
        <w:spacing w:after="0"/>
        <w:jc w:val="center"/>
        <w:rPr>
          <w:rFonts w:ascii="Times New Roman" w:cs="Times New Roman" w:eastAsia="Times New Roman" w:hAnsi="Times New Roman"/>
          <w:b/>
        </w:rPr>
      </w:pPr>
      <w:r>
        <w:rPr>
          <w:rFonts w:ascii="Times New Roman" w:cs="Times New Roman" w:eastAsia="Times New Roman" w:hAnsi="Times New Roman"/>
          <w:b/>
        </w:rPr>
        <w:t>NOMAS TIESĪBU RAKSTISKAS IZSOLES NOLIKUMS</w:t>
      </w:r>
    </w:p>
    <w:p w14:paraId="0000000C">
      <w:pPr>
        <w:spacing w:after="0"/>
        <w:jc w:val="center"/>
        <w:rPr>
          <w:rFonts w:ascii="Times New Roman" w:cs="Times New Roman" w:eastAsia="Times New Roman" w:hAnsi="Times New Roman"/>
          <w:sz w:val="23"/>
          <w:szCs w:val="23"/>
        </w:rPr>
      </w:pPr>
      <w:r>
        <w:rPr>
          <w:rFonts w:ascii="Times New Roman" w:cs="Times New Roman" w:eastAsia="Times New Roman" w:hAnsi="Times New Roman"/>
        </w:rPr>
        <w:t>Par kafijas automāta tirdzniecības vietas nomu, kas atrodas Krišjāņa Barona ielā 99c, Rīgā.</w:t>
      </w:r>
      <w:r>
        <w:rPr>
          <w:rFonts w:ascii="Times New Roman" w:cs="Times New Roman" w:eastAsia="Times New Roman" w:hAnsi="Times New Roman"/>
          <w:sz w:val="23"/>
          <w:szCs w:val="23"/>
        </w:rPr>
        <w:t xml:space="preserve"> </w:t>
      </w:r>
    </w:p>
    <w:p w14:paraId="0000000D">
      <w:pPr>
        <w:spacing w:after="0"/>
        <w:jc w:val="center"/>
        <w:rPr>
          <w:rFonts w:ascii="Times New Roman" w:cs="Times New Roman" w:eastAsia="Times New Roman" w:hAnsi="Times New Roman"/>
          <w:shd w:val="clear" w:color="auto" w:fill="efefef"/>
        </w:rPr>
      </w:pPr>
      <w:r>
        <w:rPr>
          <w:rFonts w:ascii="Times New Roman" w:cs="Times New Roman" w:eastAsia="Times New Roman" w:hAnsi="Times New Roman"/>
        </w:rPr>
        <w:t>Izsoles identifikācijas Nr. 1-17.2/33</w:t>
      </w:r>
    </w:p>
    <w:p w14:paraId="0000000E">
      <w:pPr>
        <w:spacing w:after="0"/>
        <w:jc w:val="center"/>
        <w:rPr>
          <w:rFonts w:ascii="Times New Roman" w:cs="Times New Roman" w:eastAsia="Times New Roman" w:hAnsi="Times New Roman"/>
        </w:rPr>
      </w:pPr>
    </w:p>
    <w:p w14:paraId="0000000F">
      <w:pPr>
        <w:numPr>
          <w:ilvl w:val="0"/>
          <w:numId w:val="2"/>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color w:val="000000"/>
        </w:rPr>
      </w:pPr>
      <w:r>
        <w:rPr>
          <w:rFonts w:ascii="Times New Roman" w:cs="Times New Roman" w:eastAsia="Times New Roman" w:hAnsi="Times New Roman"/>
          <w:b/>
          <w:color w:val="000000"/>
        </w:rPr>
        <w:t>Vispārīgie noteikumi</w:t>
      </w:r>
    </w:p>
    <w:p w14:paraId="00000010">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bookmarkStart w:id="0" w:name="_heading=h.3znysh7"/>
      <w:bookmarkEnd w:id="0"/>
      <w:r>
        <w:rPr>
          <w:rFonts w:ascii="Times New Roman" w:cs="Times New Roman" w:eastAsia="Times New Roman" w:hAnsi="Times New Roman"/>
          <w:b/>
          <w:color w:val="000000"/>
        </w:rPr>
        <w:t>I</w:t>
      </w:r>
      <w:r>
        <w:rPr>
          <w:rFonts w:ascii="Times New Roman" w:cs="Times New Roman" w:eastAsia="Times New Roman" w:hAnsi="Times New Roman"/>
          <w:b/>
          <w:color w:val="000000"/>
        </w:rPr>
        <w:t>znomātājs: S</w:t>
      </w:r>
      <w:r>
        <w:rPr>
          <w:rFonts w:ascii="Times New Roman" w:cs="Times New Roman" w:eastAsia="Times New Roman" w:hAnsi="Times New Roman"/>
          <w:color w:val="000000"/>
        </w:rPr>
        <w:t xml:space="preserve">abiedrība ar ierobežotu atbildību “Latvijas Nacionālais sporta centrs” (turpmāk – Sabiedrība), reģistrācijas Nr.50003140671, juridiskā adrese: </w:t>
      </w:r>
      <w:r>
        <w:rPr>
          <w:rFonts w:ascii="Times New Roman" w:cs="Times New Roman" w:eastAsia="Times New Roman" w:hAnsi="Times New Roman"/>
          <w:color w:val="000000"/>
        </w:rPr>
        <w:t>Augšiela</w:t>
      </w:r>
      <w:r>
        <w:rPr>
          <w:rFonts w:ascii="Times New Roman" w:cs="Times New Roman" w:eastAsia="Times New Roman" w:hAnsi="Times New Roman"/>
          <w:color w:val="000000"/>
        </w:rPr>
        <w:t xml:space="preserve"> 1, Rīga, LV-1009.</w:t>
      </w:r>
    </w:p>
    <w:p w14:paraId="0000001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Pr>
        <w:t>Izsoli organizē:</w:t>
      </w:r>
      <w:r>
        <w:rPr>
          <w:rFonts w:ascii="Times New Roman" w:cs="Times New Roman" w:eastAsia="Times New Roman" w:hAnsi="Times New Roman"/>
          <w:color w:val="000000"/>
        </w:rPr>
        <w:t xml:space="preserve"> Sabiedrības Nekustamā īpašuma un inventāra iznomāšanas komisija (turpmāk – Komisija), kas izveidota saskaņā ar Sabiedrības valdes </w:t>
      </w:r>
      <w:r>
        <w:rPr>
          <w:rFonts w:ascii="Times New Roman" w:cs="Times New Roman" w:eastAsia="Times New Roman" w:hAnsi="Times New Roman"/>
          <w:color w:val="222222"/>
          <w:shd w:val="clear" w:color="auto" w:fill="ffffff"/>
        </w:rPr>
        <w:t>2024.gada 3.oktobra rīkojumu Nr.1-3/LNSC/24</w:t>
      </w:r>
      <w:r>
        <w:rPr>
          <w:rFonts w:ascii="Times New Roman" w:cs="Times New Roman" w:eastAsia="Times New Roman" w:hAnsi="Times New Roman"/>
          <w:color w:val="000000"/>
        </w:rPr>
        <w:t>.</w:t>
      </w:r>
    </w:p>
    <w:p w14:paraId="00000012">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Nomas tiesību rakstveida izsoles nolikums </w:t>
      </w:r>
      <w:r>
        <w:rPr>
          <w:rFonts w:ascii="Times New Roman" w:cs="Times New Roman" w:eastAsia="Times New Roman" w:hAnsi="Times New Roman"/>
        </w:rPr>
        <w:t>(turpmāk – Nolikums) ir sagatavots saskaņā ar Sabiedrības 2020.gada 28.oktobra iekšējiem noteikumiem “Nekustamā īpašuma iznomāšanas un nomāšanas kārtība”, kā arī ievērojot Publiskas personas finanšu līdzekļu un mantas izšķērdēšanas novēršanas likumu.</w:t>
      </w:r>
    </w:p>
    <w:p w14:paraId="00000013">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Pr>
        <w:t xml:space="preserve">Izsoles veids: </w:t>
      </w:r>
      <w:r>
        <w:rPr>
          <w:rFonts w:ascii="Times New Roman" w:cs="Times New Roman" w:eastAsia="Times New Roman" w:hAnsi="Times New Roman"/>
          <w:color w:val="000000"/>
        </w:rPr>
        <w:t>pirmā izsole, rakstiska izsole ar augšupejošu soli.</w:t>
      </w:r>
    </w:p>
    <w:p w14:paraId="00000014">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Pr>
        <w:t>Izsoles identifikācijas Nr.: 1-17.2/33</w:t>
      </w:r>
    </w:p>
    <w:p w14:paraId="00000015">
      <w:pPr>
        <w:numPr>
          <w:ilvl w:val="1"/>
          <w:numId w:val="4"/>
        </w:numPr>
        <w:pBdr>
          <w:top w:val="nil" w:sz="4" w:space="0"/>
          <w:left w:val="nil" w:sz="4" w:space="0"/>
          <w:bottom w:val="nil" w:sz="4" w:space="0"/>
          <w:right w:val="nil" w:sz="4" w:space="0"/>
          <w:between w:val="nil" w:sz="4" w:space="0"/>
        </w:pBdr>
        <w:spacing w:after="0"/>
        <w:ind w:left="426" w:hanging="426"/>
        <w:rPr>
          <w:rFonts w:ascii="Times New Roman" w:cs="Times New Roman" w:eastAsia="Times New Roman" w:hAnsi="Times New Roman"/>
          <w:color w:val="000000"/>
        </w:rPr>
      </w:pPr>
      <w:bookmarkStart w:id="1" w:name="_heading=h.gjdgxs"/>
      <w:bookmarkEnd w:id="1"/>
      <w:r>
        <w:rPr>
          <w:rFonts w:ascii="Times New Roman" w:cs="Times New Roman" w:eastAsia="Times New Roman" w:hAnsi="Times New Roman"/>
          <w:b/>
          <w:color w:val="000000"/>
        </w:rPr>
        <w:t>K</w:t>
      </w:r>
      <w:r>
        <w:rPr>
          <w:rFonts w:ascii="Times New Roman" w:cs="Times New Roman" w:eastAsia="Times New Roman" w:hAnsi="Times New Roman"/>
          <w:b/>
          <w:color w:val="000000"/>
        </w:rPr>
        <w:t>ontaktpersona: Kārlis Trankalis</w:t>
      </w:r>
      <w:r>
        <w:rPr>
          <w:rFonts w:ascii="Times New Roman" w:cs="Times New Roman" w:eastAsia="Times New Roman" w:hAnsi="Times New Roman"/>
          <w:color w:val="000000"/>
        </w:rPr>
        <w:t>, tel.nr. 20084087, e-pasts: karlis.trankalis@lnsc.l</w:t>
      </w:r>
      <w:r>
        <w:rPr>
          <w:rFonts w:ascii="Times New Roman" w:cs="Times New Roman" w:eastAsia="Times New Roman" w:hAnsi="Times New Roman"/>
        </w:rPr>
        <w:t>v</w:t>
      </w:r>
    </w:p>
    <w:p w14:paraId="00000016">
      <w:pPr>
        <w:spacing w:after="0"/>
        <w:jc w:val="both"/>
        <w:rPr>
          <w:rFonts w:ascii="Times New Roman" w:cs="Times New Roman" w:eastAsia="Times New Roman" w:hAnsi="Times New Roman"/>
        </w:rPr>
      </w:pPr>
      <w:r>
        <w:rPr>
          <w:rFonts w:ascii="Times New Roman" w:cs="Times New Roman" w:eastAsia="Times New Roman" w:hAnsi="Times New Roman"/>
        </w:rPr>
        <w:t xml:space="preserve">     </w:t>
      </w:r>
    </w:p>
    <w:p w14:paraId="00000017">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Izsoles objekts</w:t>
      </w:r>
    </w:p>
    <w:p w14:paraId="00000018">
      <w:pPr>
        <w:numPr>
          <w:ilvl w:val="1"/>
          <w:numId w:val="4"/>
        </w:numPr>
        <w:pBdr>
          <w:top w:val="nil" w:sz="4" w:space="0"/>
          <w:left w:val="nil" w:sz="4" w:space="0"/>
          <w:bottom w:val="nil" w:sz="4" w:space="0"/>
          <w:right w:val="nil" w:sz="4" w:space="0"/>
          <w:between w:val="nil" w:sz="4" w:space="0"/>
        </w:pBdr>
        <w:shd w:val="clear" w:color="auto" w:fill="ffffff"/>
        <w:spacing w:after="0"/>
        <w:ind w:left="426" w:hanging="426"/>
        <w:jc w:val="both"/>
        <w:rPr>
          <w:rFonts w:ascii="Times" w:cs="Times" w:eastAsia="Times" w:hAnsi="Times"/>
        </w:rPr>
      </w:pPr>
      <w:r>
        <w:rPr>
          <w:rFonts w:ascii="Times New Roman" w:cs="Times New Roman" w:eastAsia="Times New Roman" w:hAnsi="Times New Roman"/>
          <w:b/>
          <w:color w:val="000000"/>
        </w:rPr>
        <w:t xml:space="preserve">Izsoles objekts: </w:t>
      </w:r>
      <w:r>
        <w:rPr>
          <w:rFonts w:ascii="Times New Roman" w:cs="Times New Roman" w:eastAsia="Times New Roman" w:hAnsi="Times New Roman"/>
          <w:color w:val="000000"/>
        </w:rPr>
        <w:t>nomas tiesības uz kafijas automata tirdzniecības vietu, kas atrodās Krišjāņa Barona ielā 99c, Komandu sporta spēļu hallē, Rīgā</w:t>
      </w:r>
      <w:r>
        <w:rPr>
          <w:rFonts w:ascii="Times New Roman" w:cs="Times New Roman" w:eastAsia="Times New Roman" w:hAnsi="Times New Roman"/>
          <w:color w:val="000000"/>
        </w:rPr>
        <w:t xml:space="preserve"> un ir ne lielāka par 2 m</w:t>
      </w:r>
      <w:r>
        <w:rPr>
          <w:rFonts w:ascii="Times New Roman" w:cs="Times New Roman" w:eastAsia="Times New Roman" w:hAnsi="Times New Roman"/>
          <w:color w:val="000000"/>
          <w:vertAlign w:val="superscript"/>
        </w:rPr>
        <w:t>2</w:t>
      </w:r>
      <w:r>
        <w:rPr>
          <w:rFonts w:ascii="Times New Roman" w:cs="Times New Roman" w:eastAsia="Times New Roman" w:hAnsi="Times New Roman"/>
          <w:color w:val="000000"/>
          <w:vertAlign w:val="baseline"/>
        </w:rPr>
        <w:t xml:space="preserve"> (turpmāk tekstā - “Telpas”).</w:t>
      </w:r>
    </w:p>
    <w:p w14:paraId="00000019">
      <w:pPr>
        <w:numPr>
          <w:ilvl w:val="1"/>
          <w:numId w:val="4"/>
        </w:numPr>
        <w:pBdr>
          <w:top w:val="nil" w:sz="4" w:space="0"/>
          <w:left w:val="nil" w:sz="4" w:space="0"/>
          <w:bottom w:val="nil" w:sz="4" w:space="0"/>
          <w:right w:val="nil" w:sz="4" w:space="0"/>
          <w:between w:val="nil" w:sz="4" w:space="0"/>
        </w:pBdr>
        <w:shd w:val="clear" w:color="auto" w:fill="ffffff"/>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b/>
          <w:color w:val="000000"/>
        </w:rPr>
        <w:t>Telpu lietošanas mērķis:</w:t>
      </w:r>
      <w:r>
        <w:rPr>
          <w:rFonts w:ascii="Times New Roman" w:cs="Times New Roman" w:eastAsia="Times New Roman" w:hAnsi="Times New Roman"/>
          <w:b/>
        </w:rPr>
        <w:t xml:space="preserve"> Viena kafijas automāta izvietošana</w:t>
      </w:r>
      <w:r>
        <w:rPr>
          <w:rFonts w:ascii="Times New Roman" w:cs="Times New Roman" w:eastAsia="Times New Roman" w:hAnsi="Times New Roman"/>
        </w:rPr>
        <w:t xml:space="preserve">. </w:t>
      </w:r>
    </w:p>
    <w:p w14:paraId="0000001A">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i/>
          <w:color w:val="000000"/>
        </w:rPr>
      </w:pPr>
      <w:r>
        <w:rPr>
          <w:rFonts w:ascii="Times New Roman" w:cs="Times New Roman" w:eastAsia="Times New Roman" w:hAnsi="Times New Roman"/>
          <w:b/>
          <w:i w:val="off"/>
          <w:iCs w:val="off"/>
          <w:color w:val="000000"/>
        </w:rPr>
        <w:t>I</w:t>
      </w:r>
      <w:r>
        <w:rPr>
          <w:rFonts w:ascii="Times New Roman" w:cs="Times New Roman" w:eastAsia="Times New Roman" w:hAnsi="Times New Roman"/>
          <w:b/>
          <w:color w:val="000000"/>
        </w:rPr>
        <w:t>zsoles sākumcena: EUR</w:t>
      </w:r>
      <w:r>
        <w:rPr>
          <w:rFonts w:ascii="Times New Roman" w:cs="Times New Roman" w:eastAsia="Times New Roman" w:hAnsi="Times New Roman"/>
          <w:b/>
        </w:rPr>
        <w:t xml:space="preserve"> 50</w:t>
      </w:r>
      <w:r>
        <w:rPr>
          <w:rFonts w:ascii="Times New Roman" w:cs="Times New Roman" w:eastAsia="Times New Roman" w:hAnsi="Times New Roman"/>
          <w:b/>
          <w:highlight w:val="none"/>
        </w:rPr>
        <w:t>0,00</w:t>
      </w:r>
      <w:r>
        <w:rPr>
          <w:rFonts w:ascii="Times New Roman" w:cs="Times New Roman" w:eastAsia="Times New Roman" w:hAnsi="Times New Roman"/>
          <w:b/>
          <w:color w:val="000000"/>
        </w:rPr>
        <w:t xml:space="preserve"> </w:t>
      </w:r>
      <w:r>
        <w:rPr>
          <w:rFonts w:ascii="Times New Roman" w:cs="Times New Roman" w:eastAsia="Times New Roman" w:hAnsi="Times New Roman"/>
          <w:color w:val="000000"/>
        </w:rPr>
        <w:t>(piecsimt</w:t>
      </w:r>
      <w:r>
        <w:rPr>
          <w:rFonts w:ascii="Times New Roman" w:cs="Times New Roman" w:eastAsia="Times New Roman" w:hAnsi="Times New Roman"/>
        </w:rPr>
        <w:t xml:space="preserve"> </w:t>
      </w:r>
      <w:r>
        <w:rPr>
          <w:rFonts w:ascii="Times New Roman" w:cs="Times New Roman" w:eastAsia="Times New Roman" w:hAnsi="Times New Roman"/>
          <w:color w:val="000000"/>
        </w:rPr>
        <w:t>eiro un 0</w:t>
      </w:r>
      <w:r>
        <w:rPr>
          <w:rFonts w:ascii="Times New Roman" w:cs="Times New Roman" w:eastAsia="Times New Roman" w:hAnsi="Times New Roman"/>
        </w:rPr>
        <w:t>0</w:t>
      </w:r>
      <w:r>
        <w:rPr>
          <w:rFonts w:ascii="Times New Roman" w:cs="Times New Roman" w:eastAsia="Times New Roman" w:hAnsi="Times New Roman"/>
          <w:color w:val="000000"/>
        </w:rPr>
        <w:t xml:space="preserve"> centi) bez pievienotās vērtības nodokļa (turpmāk – PVN) </w:t>
      </w:r>
      <w:r>
        <w:rPr>
          <w:rFonts w:ascii="Times New Roman" w:cs="Times New Roman" w:eastAsia="Times New Roman" w:hAnsi="Times New Roman"/>
          <w:b/>
          <w:color w:val="000000"/>
        </w:rPr>
        <w:t xml:space="preserve">mēnesī. </w:t>
      </w:r>
      <w:r>
        <w:rPr>
          <w:rFonts w:ascii="Times New Roman" w:cs="Times New Roman" w:eastAsia="Times New Roman" w:hAnsi="Times New Roman"/>
          <w:color w:val="000000"/>
        </w:rPr>
        <w:t>PVN tiek aprēķināts saskaņā ar Latvijas Republikas normatīvajos aktos noteikto likmi.</w:t>
      </w:r>
    </w:p>
    <w:p w14:paraId="0000001B">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i/>
          <w:color w:val="000000"/>
        </w:rPr>
      </w:pPr>
      <w:r>
        <w:rPr>
          <w:rFonts w:ascii="Times New Roman" w:cs="Times New Roman" w:eastAsia="Times New Roman" w:hAnsi="Times New Roman"/>
          <w:b/>
          <w:color w:val="000000"/>
        </w:rPr>
        <w:t>Izsoles minimālais solis:</w:t>
      </w:r>
      <w:r>
        <w:rPr>
          <w:rFonts w:ascii="Times New Roman" w:cs="Times New Roman" w:eastAsia="Times New Roman" w:hAnsi="Times New Roman"/>
          <w:color w:val="000000"/>
        </w:rPr>
        <w:t xml:space="preserve"> EUR 50</w:t>
      </w:r>
      <w:r>
        <w:rPr>
          <w:rFonts w:ascii="Times New Roman" w:cs="Times New Roman" w:eastAsia="Times New Roman" w:hAnsi="Times New Roman"/>
          <w:color w:val="000000"/>
          <w:highlight w:val="none"/>
        </w:rPr>
        <w:t>,00</w:t>
      </w:r>
      <w:r>
        <w:rPr>
          <w:rFonts w:ascii="Times New Roman" w:cs="Times New Roman" w:eastAsia="Times New Roman" w:hAnsi="Times New Roman"/>
          <w:color w:val="000000"/>
        </w:rPr>
        <w:t xml:space="preserve">  (piecdesmit eiro un </w:t>
      </w:r>
      <w:r>
        <w:rPr>
          <w:rFonts w:ascii="Times New Roman" w:cs="Times New Roman" w:eastAsia="Times New Roman" w:hAnsi="Times New Roman"/>
        </w:rPr>
        <w:t>0</w:t>
      </w:r>
      <w:r>
        <w:rPr>
          <w:rFonts w:ascii="Times New Roman" w:cs="Times New Roman" w:eastAsia="Times New Roman" w:hAnsi="Times New Roman"/>
          <w:color w:val="000000"/>
        </w:rPr>
        <w:t xml:space="preserve">0 centi) par </w:t>
      </w:r>
      <w:r>
        <w:rPr>
          <w:rFonts w:ascii="Times New Roman" w:cs="Times New Roman" w:eastAsia="Times New Roman" w:hAnsi="Times New Roman"/>
        </w:rPr>
        <w:t>telpu nomu</w:t>
      </w:r>
      <w:r>
        <w:rPr>
          <w:rFonts w:ascii="Times New Roman" w:cs="Times New Roman" w:eastAsia="Times New Roman" w:hAnsi="Times New Roman"/>
          <w:color w:val="000000"/>
        </w:rPr>
        <w:t xml:space="preserve"> mēnesī.</w:t>
      </w:r>
    </w:p>
    <w:p w14:paraId="0000001C">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i/>
          <w:color w:val="000000"/>
        </w:rPr>
      </w:pPr>
      <w:r>
        <w:rPr>
          <w:rFonts w:ascii="Times New Roman" w:cs="Times New Roman" w:eastAsia="Times New Roman" w:hAnsi="Times New Roman"/>
          <w:b/>
          <w:color w:val="000000"/>
        </w:rPr>
        <w:t>Telpu nomas termiņš:</w:t>
      </w:r>
      <w:r>
        <w:rPr>
          <w:rFonts w:ascii="Times New Roman" w:cs="Times New Roman" w:eastAsia="Times New Roman" w:hAnsi="Times New Roman"/>
          <w:color w:val="000000"/>
        </w:rPr>
        <w:t xml:space="preserve"> </w:t>
      </w:r>
      <w:r>
        <w:rPr>
          <w:rFonts w:ascii="Times New Roman" w:cs="Times New Roman" w:eastAsia="Times New Roman" w:hAnsi="Times New Roman"/>
          <w:color w:val="000000"/>
          <w:highlight w:val="none"/>
        </w:rPr>
        <w:t>1</w:t>
      </w:r>
      <w:r>
        <w:rPr>
          <w:rFonts w:ascii="Times New Roman" w:cs="Times New Roman" w:eastAsia="Times New Roman" w:hAnsi="Times New Roman"/>
          <w:highlight w:val="none"/>
        </w:rPr>
        <w:t xml:space="preserve"> </w:t>
      </w:r>
      <w:r>
        <w:rPr>
          <w:rFonts w:ascii="Times New Roman" w:cs="Times New Roman" w:eastAsia="Times New Roman" w:hAnsi="Times New Roman"/>
          <w:color w:val="000000"/>
          <w:highlight w:val="none"/>
        </w:rPr>
        <w:t>(viens</w:t>
      </w:r>
      <w:r>
        <w:rPr>
          <w:rFonts w:ascii="Times New Roman" w:cs="Times New Roman" w:eastAsia="Times New Roman" w:hAnsi="Times New Roman"/>
          <w:color w:val="000000"/>
          <w:highlight w:val="none"/>
        </w:rPr>
        <w:t>)</w:t>
      </w:r>
      <w:r>
        <w:rPr>
          <w:rFonts w:ascii="Times New Roman" w:cs="Times New Roman" w:eastAsia="Times New Roman" w:hAnsi="Times New Roman"/>
          <w:color w:val="000000"/>
        </w:rPr>
        <w:t xml:space="preserve"> gads.</w:t>
      </w:r>
    </w:p>
    <w:p w14:paraId="0000001D">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Pr>
        <w:t>Pretendentam nepieciešamie ieguldījumi</w:t>
      </w:r>
      <w:r>
        <w:rPr>
          <w:rFonts w:ascii="Times New Roman" w:cs="Times New Roman" w:eastAsia="Times New Roman" w:hAnsi="Times New Roman"/>
          <w:color w:val="000000"/>
        </w:rPr>
        <w:t xml:space="preserve"> jāveic nomniekam pašam, pēc saviem ieskatiem, saskaņā ar jomu regulējošiem Latvijas Republikā spēkā esošajiem normatīvajiem aktiem. </w:t>
      </w:r>
    </w:p>
    <w:p w14:paraId="0000001E">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i/>
          <w:color w:val="000000"/>
        </w:rPr>
      </w:pPr>
      <w:r>
        <w:rPr>
          <w:rFonts w:ascii="Times New Roman" w:cs="Times New Roman" w:eastAsia="Times New Roman" w:hAnsi="Times New Roman"/>
          <w:color w:val="000000"/>
        </w:rPr>
        <w:t>Papildu Telpu nomas maksai nomnieks maksā apsaimniekošanas maksu, maksu par  komunālajiem un citiem pakalpojumiem (piemēram, sakaru pakalpojumiem), ja Sabiedrība šādus pakalpojumus nodrošina.</w:t>
      </w:r>
    </w:p>
    <w:p w14:paraId="0000001F">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i/>
          <w:color w:val="000000"/>
        </w:rPr>
      </w:pPr>
      <w:r>
        <w:rPr>
          <w:rFonts w:ascii="Times New Roman" w:cs="Times New Roman" w:eastAsia="Times New Roman" w:hAnsi="Times New Roman"/>
          <w:color w:val="000000"/>
        </w:rPr>
        <w:t>Nomniekam nav tiesību nodot Telpu vai to daļu apakšnomā trešajām personām.</w:t>
      </w:r>
    </w:p>
    <w:p w14:paraId="00000020">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color w:val="000000"/>
        </w:rPr>
      </w:pPr>
      <w:r>
        <w:rPr>
          <w:rFonts w:ascii="Times New Roman" w:cs="Times New Roman" w:eastAsia="Times New Roman" w:hAnsi="Times New Roman"/>
          <w:color w:val="000000"/>
        </w:rPr>
        <w:t>Izsoles Telpu pretendents var apskatīt tā atrašanās vietā, apskates laiku (darba dienās) iepriekš saskaņojot ar Kārli Trankali</w:t>
      </w:r>
      <w:r>
        <w:rPr>
          <w:rFonts w:ascii="Times New Roman" w:cs="Times New Roman" w:eastAsia="Times New Roman" w:hAnsi="Times New Roman"/>
          <w:color w:val="000000"/>
        </w:rPr>
        <w:t>, tel.nr. 20084087</w:t>
      </w:r>
      <w:r>
        <w:rPr>
          <w:rFonts w:ascii="Times New Roman" w:cs="Times New Roman" w:eastAsia="Times New Roman" w:hAnsi="Times New Roman"/>
          <w:color w:val="000000"/>
        </w:rPr>
        <w:t>, e-pasts:</w:t>
      </w:r>
      <w:r>
        <w:rPr>
          <w:rFonts w:ascii="Times New Roman" w:cs="Times New Roman" w:eastAsia="Times New Roman" w:hAnsi="Times New Roman"/>
        </w:rPr>
        <w:t xml:space="preserve"> </w:t>
      </w:r>
      <w:r>
        <w:rPr>
          <w:rStyle w:val="Hyperlink"/>
          <w:rFonts w:ascii="Times New Roman" w:cs="Times New Roman" w:eastAsia="Times New Roman" w:hAnsi="Times New Roman"/>
        </w:rPr>
        <w:fldChar w:fldCharType="begin"/>
      </w:r>
      <w:r>
        <w:rPr>
          <w:rStyle w:val="Hyperlink"/>
          <w:rFonts w:ascii="Times New Roman" w:cs="Times New Roman" w:eastAsia="Times New Roman" w:hAnsi="Times New Roman"/>
        </w:rPr>
        <w:instrText xml:space="preserve">HYPERLINK "mailto:karlis.trankalis@lnsc.lv"</w:instrText>
      </w:r>
      <w:r>
        <w:rPr>
          <w:rStyle w:val="Hyperlink"/>
          <w:rFonts w:ascii="Times New Roman" w:cs="Times New Roman" w:eastAsia="Times New Roman" w:hAnsi="Times New Roman"/>
        </w:rPr>
        <w:fldChar w:fldCharType="separate"/>
      </w:r>
      <w:r>
        <w:rPr>
          <w:rStyle w:val="Hyperlink"/>
          <w:rFonts w:ascii="Times New Roman" w:cs="Times New Roman" w:eastAsia="Times New Roman" w:hAnsi="Times New Roman"/>
        </w:rPr>
        <w:t>karlis.trankalis@lnsc.lv</w:t>
      </w:r>
      <w:r>
        <w:rPr>
          <w:rFonts w:ascii="Times New Roman" w:cs="Times New Roman" w:eastAsia="Times New Roman" w:hAnsi="Times New Roman"/>
        </w:rPr>
        <w:fldChar w:fldCharType="end"/>
      </w:r>
      <w:r>
        <w:rPr>
          <w:rFonts w:ascii="Times New Roman" w:cs="Times New Roman" w:eastAsia="Times New Roman" w:hAnsi="Times New Roman"/>
        </w:rPr>
        <w:t xml:space="preserve"> </w:t>
      </w:r>
    </w:p>
    <w:p w14:paraId="00000021">
      <w:pPr>
        <w:pBdr>
          <w:top w:val="nil" w:sz="4" w:space="0"/>
          <w:left w:val="nil" w:sz="4" w:space="0"/>
          <w:bottom w:val="nil" w:sz="4" w:space="0"/>
          <w:right w:val="nil" w:sz="4" w:space="0"/>
          <w:between w:val="nil" w:sz="4" w:space="0"/>
        </w:pBdr>
        <w:spacing w:after="0"/>
        <w:ind w:left="360"/>
        <w:jc w:val="both"/>
        <w:rPr>
          <w:rFonts w:ascii="Times New Roman" w:cs="Times New Roman" w:eastAsia="Times New Roman" w:hAnsi="Times New Roman"/>
          <w:b/>
          <w:color w:val="000000"/>
        </w:rPr>
      </w:pPr>
    </w:p>
    <w:p w14:paraId="00000022">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Informācija par izsoles publicēšanu</w:t>
      </w:r>
    </w:p>
    <w:p w14:paraId="00000023">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bookmarkStart w:id="2" w:name="_heading=h.1fob9te"/>
      <w:bookmarkEnd w:id="2"/>
      <w:r>
        <w:rPr>
          <w:rFonts w:ascii="Times New Roman" w:cs="Times New Roman" w:eastAsia="Times New Roman" w:hAnsi="Times New Roman"/>
          <w:color w:val="000000"/>
        </w:rPr>
        <w:t>S</w:t>
      </w:r>
      <w:r>
        <w:rPr>
          <w:rFonts w:ascii="Times New Roman" w:cs="Times New Roman" w:eastAsia="Times New Roman" w:hAnsi="Times New Roman"/>
          <w:color w:val="000000"/>
        </w:rPr>
        <w:t xml:space="preserve">ludinājumu par izsoli un nolikumu Sabiedrība publicē savā mājaslapas internetā </w:t>
      </w:r>
      <w:r>
        <w:rPr>
          <w:rStyle w:val="Hyperlink"/>
          <w:rFonts w:ascii="Times New Roman" w:cs="Times New Roman" w:eastAsia="Times New Roman" w:hAnsi="Times New Roman"/>
        </w:rPr>
        <w:fldChar w:fldCharType="begin"/>
      </w:r>
      <w:r>
        <w:rPr>
          <w:rStyle w:val="Hyperlink"/>
          <w:rFonts w:ascii="Times New Roman" w:cs="Times New Roman" w:eastAsia="Times New Roman" w:hAnsi="Times New Roman"/>
        </w:rPr>
        <w:instrText xml:space="preserve">HYPERLINK "http://www.lnsc.lv" </w:instrText>
      </w:r>
      <w:r>
        <w:rPr>
          <w:rStyle w:val="Hyperlink"/>
          <w:rFonts w:ascii="Times New Roman" w:cs="Times New Roman" w:eastAsia="Times New Roman" w:hAnsi="Times New Roman"/>
        </w:rPr>
        <w:fldChar w:fldCharType="separate"/>
      </w:r>
      <w:r>
        <w:rPr>
          <w:rStyle w:val="Hyperlink"/>
          <w:rFonts w:ascii="Times New Roman" w:cs="Times New Roman" w:eastAsia="Times New Roman" w:hAnsi="Times New Roman"/>
        </w:rPr>
        <w:t>www.lnsc.lv</w:t>
      </w:r>
      <w:r>
        <w:rPr>
          <w:rFonts w:ascii="Times New Roman" w:cs="Times New Roman" w:eastAsia="Times New Roman" w:hAnsi="Times New Roman"/>
          <w:color w:val="000000"/>
        </w:rPr>
        <w:fldChar w:fldCharType="end"/>
      </w:r>
      <w:r>
        <w:rPr>
          <w:rFonts w:ascii="Times New Roman" w:cs="Times New Roman" w:eastAsia="Times New Roman" w:hAnsi="Times New Roman"/>
          <w:color w:val="000000"/>
        </w:rPr>
        <w:t xml:space="preserve"> sadaļas „Par mums” </w:t>
      </w:r>
      <w:r>
        <w:rPr>
          <w:rFonts w:ascii="Times New Roman" w:cs="Times New Roman" w:eastAsia="Times New Roman" w:hAnsi="Times New Roman"/>
          <w:color w:val="000000"/>
        </w:rPr>
        <w:t>apakšsadaļā</w:t>
      </w:r>
      <w:r>
        <w:rPr>
          <w:rFonts w:ascii="Times New Roman" w:cs="Times New Roman" w:eastAsia="Times New Roman" w:hAnsi="Times New Roman"/>
          <w:color w:val="000000"/>
        </w:rPr>
        <w:t xml:space="preserve"> “Iepirkumi un izsoles”.</w:t>
      </w:r>
    </w:p>
    <w:p w14:paraId="00000024">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 xml:space="preserve">Sludinājumu par izsoli publicē arī VAS „Valsts nekustamie īpašumi” mājaslapā internetā </w:t>
      </w:r>
      <w:r>
        <w:rPr>
          <w:rFonts w:ascii="Times New Roman" w:cs="Times New Roman" w:eastAsia="Times New Roman" w:hAnsi="Times New Roman"/>
          <w:color w:val="0563c1"/>
          <w:u w:val="single"/>
        </w:rPr>
        <w:fldChar w:fldCharType="begin"/>
      </w:r>
      <w:r>
        <w:rPr>
          <w:rFonts w:ascii="Times New Roman" w:cs="Times New Roman" w:eastAsia="Times New Roman" w:hAnsi="Times New Roman"/>
          <w:color w:val="0563c1"/>
          <w:u w:val="single"/>
        </w:rPr>
        <w:instrText xml:space="preserve">HYPERLINK "http://www.vni.lv" </w:instrText>
      </w:r>
      <w:r>
        <w:rPr>
          <w:rFonts w:ascii="Times New Roman" w:cs="Times New Roman" w:eastAsia="Times New Roman" w:hAnsi="Times New Roman"/>
          <w:color w:val="0563c1"/>
          <w:u w:val="single"/>
        </w:rPr>
        <w:fldChar w:fldCharType="separate"/>
      </w:r>
      <w:r>
        <w:rPr>
          <w:rFonts w:ascii="Times New Roman" w:cs="Times New Roman" w:eastAsia="Times New Roman" w:hAnsi="Times New Roman"/>
          <w:color w:val="0563c1"/>
          <w:u w:val="single"/>
        </w:rPr>
        <w:t>www.vni.lv</w:t>
      </w:r>
      <w:r>
        <w:rPr>
          <w:rFonts w:ascii="Times New Roman" w:cs="Times New Roman" w:eastAsia="Times New Roman" w:hAnsi="Times New Roman"/>
          <w:color w:val="000000"/>
        </w:rPr>
        <w:fldChar w:fldCharType="end"/>
      </w:r>
      <w:r>
        <w:rPr>
          <w:rFonts w:ascii="Times New Roman" w:cs="Times New Roman" w:eastAsia="Times New Roman" w:hAnsi="Times New Roman"/>
          <w:color w:val="000000"/>
        </w:rPr>
        <w:t xml:space="preserve"> </w:t>
      </w:r>
    </w:p>
    <w:p w14:paraId="00000025">
      <w:pPr>
        <w:pBdr>
          <w:top w:val="nil" w:sz="4" w:space="0"/>
          <w:left w:val="nil" w:sz="4" w:space="0"/>
          <w:bottom w:val="nil" w:sz="4" w:space="0"/>
          <w:right w:val="nil" w:sz="4" w:space="0"/>
          <w:between w:val="nil" w:sz="4" w:space="0"/>
        </w:pBdr>
        <w:spacing w:after="0"/>
        <w:ind w:left="426"/>
        <w:jc w:val="both"/>
        <w:rPr>
          <w:rFonts w:ascii="Times New Roman" w:cs="Times New Roman" w:eastAsia="Times New Roman" w:hAnsi="Times New Roman"/>
          <w:b/>
          <w:i/>
          <w:color w:val="000000"/>
        </w:rPr>
      </w:pPr>
    </w:p>
    <w:p w14:paraId="00000026">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Piedāvājuma iesniegšanas kārtība un prasības pretendentiem</w:t>
      </w:r>
    </w:p>
    <w:p w14:paraId="00000027">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Pretendents piedāvājumu iesniedz līdz</w:t>
      </w:r>
      <w:r>
        <w:rPr>
          <w:rFonts w:ascii="Times New Roman" w:cs="Times New Roman" w:eastAsia="Times New Roman" w:hAnsi="Times New Roman"/>
        </w:rPr>
        <w:t xml:space="preserve"> </w:t>
      </w:r>
      <w:r>
        <w:rPr>
          <w:rFonts w:ascii="Times New Roman" w:cs="Times New Roman" w:eastAsia="Times New Roman" w:hAnsi="Times New Roman"/>
          <w:b/>
          <w:bCs/>
        </w:rPr>
        <w:t>17</w:t>
      </w:r>
      <w:r>
        <w:rPr>
          <w:rFonts w:ascii="Times New Roman" w:cs="Times New Roman" w:eastAsia="Times New Roman" w:hAnsi="Times New Roman"/>
          <w:b/>
          <w:bCs/>
        </w:rPr>
        <w:t>.07</w:t>
      </w:r>
      <w:r>
        <w:rPr>
          <w:rFonts w:ascii="Times New Roman" w:cs="Times New Roman" w:eastAsia="Times New Roman" w:hAnsi="Times New Roman"/>
          <w:b/>
          <w:bCs/>
        </w:rPr>
        <w:t>.2026</w:t>
      </w:r>
      <w:r>
        <w:rPr>
          <w:rFonts w:ascii="Times New Roman" w:cs="Times New Roman" w:eastAsia="Times New Roman" w:hAnsi="Times New Roman"/>
          <w:b/>
          <w:bCs/>
          <w:color w:val="000000"/>
        </w:rPr>
        <w:t>.</w:t>
      </w:r>
      <w:r>
        <w:rPr>
          <w:rFonts w:ascii="Times New Roman" w:cs="Times New Roman" w:eastAsia="Times New Roman" w:hAnsi="Times New Roman"/>
          <w:color w:val="000000"/>
        </w:rPr>
        <w:t xml:space="preserve"> </w:t>
      </w:r>
      <w:r>
        <w:rPr>
          <w:rFonts w:ascii="Times New Roman" w:cs="Times New Roman" w:eastAsia="Times New Roman" w:hAnsi="Times New Roman"/>
          <w:b/>
          <w:color w:val="000000"/>
        </w:rPr>
        <w:t>plkst. 1</w:t>
      </w:r>
      <w:r>
        <w:rPr>
          <w:rFonts w:ascii="Times New Roman" w:cs="Times New Roman" w:eastAsia="Times New Roman" w:hAnsi="Times New Roman"/>
          <w:b/>
        </w:rPr>
        <w:t>1:00</w:t>
      </w:r>
      <w:r>
        <w:rPr>
          <w:rFonts w:ascii="Times New Roman" w:cs="Times New Roman" w:eastAsia="Times New Roman" w:hAnsi="Times New Roman"/>
          <w:color w:val="000000"/>
        </w:rPr>
        <w:t xml:space="preserve"> Sabiedrības Administrācijā, </w:t>
      </w:r>
      <w:r>
        <w:rPr>
          <w:rFonts w:ascii="Times New Roman" w:cs="Times New Roman" w:eastAsia="Times New Roman" w:hAnsi="Times New Roman"/>
          <w:color w:val="000000"/>
        </w:rPr>
        <w:t>Augšielā</w:t>
      </w:r>
      <w:r>
        <w:rPr>
          <w:rFonts w:ascii="Times New Roman" w:cs="Times New Roman" w:eastAsia="Times New Roman" w:hAnsi="Times New Roman"/>
          <w:color w:val="000000"/>
        </w:rPr>
        <w:t xml:space="preserve"> 1, Rīgā, piedāvājumu iesniedzot personīgi vai nosūtot pa pastu. Pasta sūtījumiem jābūt saņemtiem Sabiedrībā līdz</w:t>
      </w:r>
      <w:r>
        <w:rPr>
          <w:rFonts w:ascii="Times New Roman" w:cs="Times New Roman" w:eastAsia="Times New Roman" w:hAnsi="Times New Roman"/>
        </w:rPr>
        <w:t xml:space="preserve"> </w:t>
      </w:r>
      <w:r>
        <w:rPr>
          <w:rFonts w:ascii="Times New Roman" w:cs="Times New Roman" w:eastAsia="Times New Roman" w:hAnsi="Times New Roman"/>
          <w:b/>
          <w:bCs/>
        </w:rPr>
        <w:t>17</w:t>
      </w:r>
      <w:r>
        <w:rPr>
          <w:rFonts w:ascii="Times New Roman" w:cs="Times New Roman" w:eastAsia="Times New Roman" w:hAnsi="Times New Roman"/>
          <w:b/>
          <w:bCs/>
        </w:rPr>
        <w:t>.07</w:t>
      </w:r>
      <w:r>
        <w:rPr>
          <w:rFonts w:ascii="Times New Roman" w:cs="Times New Roman" w:eastAsia="Times New Roman" w:hAnsi="Times New Roman"/>
          <w:b/>
          <w:bCs/>
        </w:rPr>
        <w:t>.2026</w:t>
      </w:r>
      <w:r>
        <w:rPr>
          <w:rFonts w:ascii="Times New Roman" w:cs="Times New Roman" w:eastAsia="Times New Roman" w:hAnsi="Times New Roman"/>
          <w:b/>
          <w:bCs/>
          <w:color w:val="000000"/>
        </w:rPr>
        <w:t>.</w:t>
      </w:r>
      <w:r>
        <w:rPr>
          <w:rFonts w:ascii="Times New Roman" w:cs="Times New Roman" w:eastAsia="Times New Roman" w:hAnsi="Times New Roman"/>
          <w:color w:val="000000"/>
        </w:rPr>
        <w:t xml:space="preserve"> </w:t>
      </w:r>
      <w:r>
        <w:rPr>
          <w:rFonts w:ascii="Times New Roman" w:cs="Times New Roman" w:eastAsia="Times New Roman" w:hAnsi="Times New Roman"/>
          <w:b/>
          <w:color w:val="000000"/>
        </w:rPr>
        <w:t>plkst. 1</w:t>
      </w:r>
      <w:r>
        <w:rPr>
          <w:rFonts w:ascii="Times New Roman" w:cs="Times New Roman" w:eastAsia="Times New Roman" w:hAnsi="Times New Roman"/>
          <w:b/>
        </w:rPr>
        <w:t>1:00.</w:t>
      </w:r>
      <w:r>
        <w:rPr>
          <w:rFonts w:ascii="Times New Roman" w:cs="Times New Roman" w:eastAsia="Times New Roman" w:hAnsi="Times New Roman"/>
          <w:color w:val="000000"/>
        </w:rPr>
        <w:t xml:space="preserve"> </w:t>
      </w:r>
    </w:p>
    <w:p w14:paraId="00000028">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Pr>
        <w:t>Pretendents piedāvājumu noformē, aizpildot “Pieteikums izsolei” (Nolikuma 1.pielikums), kurā norāda:</w:t>
      </w:r>
    </w:p>
    <w:p w14:paraId="00000029">
      <w:pPr>
        <w:numPr>
          <w:ilvl w:val="2"/>
          <w:numId w:val="4"/>
        </w:numPr>
        <w:pBdr>
          <w:top w:val="nil" w:sz="4" w:space="0"/>
          <w:left w:val="nil" w:sz="4" w:space="0"/>
          <w:bottom w:val="nil" w:sz="4" w:space="0"/>
          <w:right w:val="nil" w:sz="4" w:space="0"/>
          <w:between w:val="nil" w:sz="4" w:space="0"/>
        </w:pBdr>
        <w:tabs>
          <w:tab w:val="left" w:pos="1134"/>
        </w:tabs>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fiziska persona – vārdu, uzvārdu, personas kodu, deklarētās dzīvesvietas adresi;</w:t>
      </w:r>
    </w:p>
    <w:p w14:paraId="0000002A">
      <w:pPr>
        <w:pBdr>
          <w:top w:val="nil" w:sz="4" w:space="0"/>
          <w:left w:val="nil" w:sz="4" w:space="0"/>
          <w:bottom w:val="nil" w:sz="4" w:space="0"/>
          <w:right w:val="nil" w:sz="4" w:space="0"/>
          <w:between w:val="nil" w:sz="4" w:space="0"/>
        </w:pBdr>
        <w:spacing w:after="0"/>
        <w:ind w:left="1276" w:hanging="142"/>
        <w:jc w:val="both"/>
        <w:rPr>
          <w:rFonts w:ascii="Times New Roman" w:cs="Times New Roman" w:eastAsia="Times New Roman" w:hAnsi="Times New Roman"/>
          <w:color w:val="000000"/>
        </w:rPr>
      </w:pPr>
      <w:r>
        <w:rPr>
          <w:rFonts w:ascii="Times New Roman" w:cs="Times New Roman" w:eastAsia="Times New Roman" w:hAnsi="Times New Roman"/>
          <w:color w:val="000000"/>
        </w:rPr>
        <w:t>juridiska persona – nosaukumu, reģistrācijas numuru, juridisko adresi;</w:t>
      </w:r>
    </w:p>
    <w:p w14:paraId="0000002B">
      <w:pPr>
        <w:numPr>
          <w:ilvl w:val="2"/>
          <w:numId w:val="4"/>
        </w:numPr>
        <w:pBdr>
          <w:top w:val="nil" w:sz="4" w:space="0"/>
          <w:left w:val="nil" w:sz="4" w:space="0"/>
          <w:bottom w:val="nil" w:sz="4" w:space="0"/>
          <w:right w:val="nil" w:sz="4" w:space="0"/>
          <w:between w:val="nil" w:sz="4" w:space="0"/>
        </w:pBdr>
        <w:spacing w:after="0"/>
        <w:ind w:hanging="515"/>
        <w:jc w:val="both"/>
        <w:rPr>
          <w:rFonts w:ascii="Times New Roman" w:cs="Times New Roman" w:eastAsia="Times New Roman" w:hAnsi="Times New Roman"/>
          <w:b/>
          <w:i/>
          <w:color w:val="000000"/>
        </w:rPr>
      </w:pPr>
      <w:r>
        <w:rPr>
          <w:rFonts w:ascii="Times New Roman" w:cs="Times New Roman" w:eastAsia="Times New Roman" w:hAnsi="Times New Roman"/>
          <w:color w:val="000000"/>
        </w:rPr>
        <w:t>nomas tiesību pretendenta pārstāvja vārdu, uzvārdu, personas kodu (ja ir), pievienojot pilnvaru (oriģinālu vai apliecinātu kopiju) attiecīgajai personai pārstāvēt pretendenta intereses. Pilnvarā ir jābūt  norādītam, ka persona ir pilnvarota piedalīties Telpu nomas tiesību izsolē. Fiziskās personas izsniegtai pilnvarai ir jābūt apliecinātai notariāli;</w:t>
      </w:r>
    </w:p>
    <w:p w14:paraId="0000002C">
      <w:pPr>
        <w:numPr>
          <w:ilvl w:val="2"/>
          <w:numId w:val="4"/>
        </w:numPr>
        <w:pBdr>
          <w:top w:val="nil" w:sz="4" w:space="0"/>
          <w:left w:val="nil" w:sz="4" w:space="0"/>
          <w:bottom w:val="nil" w:sz="4" w:space="0"/>
          <w:right w:val="nil" w:sz="4" w:space="0"/>
          <w:between w:val="nil" w:sz="4" w:space="0"/>
        </w:pBdr>
        <w:tabs>
          <w:tab w:val="left" w:pos="1276"/>
        </w:tabs>
        <w:spacing w:after="0"/>
        <w:ind w:left="1134" w:hanging="425"/>
        <w:jc w:val="both"/>
        <w:rPr>
          <w:rFonts w:ascii="Times New Roman" w:cs="Times New Roman" w:eastAsia="Times New Roman" w:hAnsi="Times New Roman"/>
          <w:color w:val="000000"/>
        </w:rPr>
      </w:pPr>
      <w:r>
        <w:rPr>
          <w:rFonts w:ascii="Times New Roman" w:cs="Times New Roman" w:eastAsia="Times New Roman" w:hAnsi="Times New Roman"/>
          <w:color w:val="000000"/>
        </w:rPr>
        <w:t>kontakttālruni un elektroniskā pasta adresi;</w:t>
      </w:r>
    </w:p>
    <w:p w14:paraId="0000002D">
      <w:pPr>
        <w:numPr>
          <w:ilvl w:val="2"/>
          <w:numId w:val="4"/>
        </w:numPr>
        <w:pBdr>
          <w:top w:val="nil" w:sz="4" w:space="0"/>
          <w:left w:val="nil" w:sz="4" w:space="0"/>
          <w:bottom w:val="nil" w:sz="4" w:space="0"/>
          <w:right w:val="nil" w:sz="4" w:space="0"/>
          <w:between w:val="nil" w:sz="4" w:space="0"/>
        </w:pBdr>
        <w:tabs>
          <w:tab w:val="left" w:pos="1276"/>
        </w:tabs>
        <w:spacing w:after="0"/>
        <w:ind w:left="1134" w:hanging="425"/>
        <w:jc w:val="both"/>
        <w:rPr>
          <w:rFonts w:ascii="Times New Roman" w:cs="Times New Roman" w:eastAsia="Times New Roman" w:hAnsi="Times New Roman"/>
          <w:color w:val="000000"/>
        </w:rPr>
      </w:pPr>
      <w:r>
        <w:rPr>
          <w:rFonts w:ascii="Times New Roman" w:cs="Times New Roman" w:eastAsia="Times New Roman" w:hAnsi="Times New Roman"/>
          <w:color w:val="000000"/>
        </w:rPr>
        <w:t>Izsoles objekta adresi un platību;</w:t>
      </w:r>
    </w:p>
    <w:p w14:paraId="0000002E">
      <w:pPr>
        <w:numPr>
          <w:ilvl w:val="2"/>
          <w:numId w:val="4"/>
        </w:numPr>
        <w:pBdr>
          <w:top w:val="nil" w:sz="4" w:space="0"/>
          <w:left w:val="nil" w:sz="4" w:space="0"/>
          <w:bottom w:val="nil" w:sz="4" w:space="0"/>
          <w:right w:val="nil" w:sz="4" w:space="0"/>
          <w:between w:val="nil" w:sz="4" w:space="0"/>
        </w:pBdr>
        <w:tabs>
          <w:tab w:val="left" w:pos="1276"/>
        </w:tabs>
        <w:spacing w:after="0"/>
        <w:ind w:left="1134" w:hanging="425"/>
        <w:jc w:val="both"/>
        <w:rPr>
          <w:rFonts w:ascii="Times New Roman" w:cs="Times New Roman" w:eastAsia="Times New Roman" w:hAnsi="Times New Roman"/>
          <w:color w:val="000000"/>
        </w:rPr>
      </w:pPr>
      <w:r>
        <w:rPr>
          <w:rFonts w:ascii="Times New Roman" w:cs="Times New Roman" w:eastAsia="Times New Roman" w:hAnsi="Times New Roman"/>
          <w:color w:val="000000"/>
        </w:rPr>
        <w:t>nomas laikā plānotās darbības izsoles objektā;</w:t>
      </w:r>
    </w:p>
    <w:p w14:paraId="0000002F">
      <w:pPr>
        <w:numPr>
          <w:ilvl w:val="2"/>
          <w:numId w:val="4"/>
        </w:numPr>
        <w:pBdr>
          <w:top w:val="nil" w:sz="4" w:space="0"/>
          <w:left w:val="nil" w:sz="4" w:space="0"/>
          <w:bottom w:val="nil" w:sz="4" w:space="0"/>
          <w:right w:val="nil" w:sz="4" w:space="0"/>
          <w:between w:val="nil" w:sz="4" w:space="0"/>
        </w:pBdr>
        <w:tabs>
          <w:tab w:val="left" w:pos="1276"/>
        </w:tabs>
        <w:spacing w:after="0"/>
        <w:ind w:left="1276" w:hanging="567"/>
        <w:jc w:val="both"/>
        <w:rPr>
          <w:rFonts w:ascii="Times New Roman" w:cs="Times New Roman" w:eastAsia="Times New Roman" w:hAnsi="Times New Roman"/>
          <w:color w:val="000000"/>
        </w:rPr>
      </w:pPr>
      <w:r>
        <w:rPr>
          <w:rFonts w:ascii="Times New Roman" w:cs="Times New Roman" w:eastAsia="Times New Roman" w:hAnsi="Times New Roman"/>
          <w:color w:val="000000"/>
        </w:rPr>
        <w:t>piedāvāto nomas maksas apmēru par vienu iznomājamās platības kvadrātmetru mēnesī bez pievienotās vērtības nodokļa.</w:t>
      </w:r>
    </w:p>
    <w:p w14:paraId="00000030">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Pretendents var iesniegt vienu piedāvājuma variantu.</w:t>
      </w:r>
    </w:p>
    <w:p w14:paraId="0000003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Piedāvājumam jābūt spēkā vismaz 1 (vienu) mēnesi no piedāvājuma atvēršanas brīža.</w:t>
      </w:r>
    </w:p>
    <w:p w14:paraId="00000032">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Dokumentiem jābūt skaidri salasāmiem. Ja Komisijai nepieciešams pārliecināties par dokumentu oriģināla juridisko spēku vai dokumenta atvasinājuma (kopijas) pareizību, Komisija dokumentu salīdzināšanai var pieprasīt, lai tiek uzrādīts dokumentu oriģināls, kurš atšķirības gadījumā būs noteicošais dokuments. Ja pastāvēs jebkāda veida pretrunas starp skaitlisko vērtību apzīmējumu ar vārdiem un skaitļiem, noteicošais būs apzīmējums ar vārdiem.</w:t>
      </w:r>
    </w:p>
    <w:p w14:paraId="00000033">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Visi dokumenti iesniedzami latviešu valodā 1 (vienā) eksemplārā. Ārvalstīs izdotiem dokumentiem vai dokumentiem svešvalodā jāpievieno apliecināts dokumenta tulkojums valsts valodā. Iesniegtie pieteikumi izsolei pretendentiem netiek atdoti atpakaļ.</w:t>
      </w:r>
    </w:p>
    <w:p w14:paraId="00000034">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 xml:space="preserve">Piedāvājums ar tam pievienotajiem dokumentiem ir jābūt </w:t>
      </w:r>
      <w:r>
        <w:rPr>
          <w:rFonts w:ascii="Times New Roman" w:cs="Times New Roman" w:eastAsia="Times New Roman" w:hAnsi="Times New Roman"/>
          <w:color w:val="000000"/>
        </w:rPr>
        <w:t>cauršūtiem</w:t>
      </w:r>
      <w:r>
        <w:rPr>
          <w:rFonts w:ascii="Times New Roman" w:cs="Times New Roman" w:eastAsia="Times New Roman" w:hAnsi="Times New Roman"/>
          <w:color w:val="000000"/>
        </w:rPr>
        <w:t xml:space="preserve">, apstiprinātiem ar pretendenta parakstu, jābūt norādītam kopējam lapaspušu skaitam, iesniegto dokumentu kopijām jābūt apliecinātām atbilstoši normatīvajos aktos noteiktajām prasībām. Piedāvājums ir jāiesniedz aizlīmētā aploksnē. </w:t>
      </w:r>
      <w:r>
        <w:rPr>
          <w:rFonts w:ascii="Times New Roman" w:cs="Times New Roman" w:eastAsia="Times New Roman" w:hAnsi="Times New Roman"/>
          <w:b/>
          <w:color w:val="000000"/>
        </w:rPr>
        <w:t>Uz aploksnes jānorāda šāda informācija:</w:t>
      </w:r>
    </w:p>
    <w:p w14:paraId="00000035">
      <w:pPr>
        <w:numPr>
          <w:ilvl w:val="2"/>
          <w:numId w:val="2"/>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color w:val="000000"/>
        </w:rPr>
      </w:pPr>
      <w:r>
        <w:rPr>
          <w:rFonts w:ascii="Times New Roman" w:cs="Times New Roman" w:eastAsia="Times New Roman" w:hAnsi="Times New Roman"/>
          <w:color w:val="000000"/>
        </w:rPr>
        <w:t>Adresāts:</w:t>
      </w:r>
      <w:r>
        <w:rPr>
          <w:rFonts w:ascii="Times New Roman" w:cs="Times New Roman" w:eastAsia="Times New Roman" w:hAnsi="Times New Roman"/>
          <w:b/>
          <w:color w:val="000000"/>
        </w:rPr>
        <w:t xml:space="preserve"> SIA „ Latvijas Nacionālais sporta centrs”, </w:t>
      </w:r>
      <w:r>
        <w:rPr>
          <w:rFonts w:ascii="Times New Roman" w:cs="Times New Roman" w:eastAsia="Times New Roman" w:hAnsi="Times New Roman"/>
          <w:b/>
          <w:color w:val="000000"/>
        </w:rPr>
        <w:t>Augšiela</w:t>
      </w:r>
      <w:r>
        <w:rPr>
          <w:rFonts w:ascii="Times New Roman" w:cs="Times New Roman" w:eastAsia="Times New Roman" w:hAnsi="Times New Roman"/>
          <w:b/>
          <w:color w:val="000000"/>
        </w:rPr>
        <w:t xml:space="preserve"> 1, Rīga, LV-1009;</w:t>
      </w:r>
    </w:p>
    <w:p w14:paraId="00000036">
      <w:pPr>
        <w:numPr>
          <w:ilvl w:val="2"/>
          <w:numId w:val="2"/>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color w:val="000000"/>
        </w:rPr>
      </w:pPr>
      <w:r>
        <w:rPr>
          <w:rFonts w:ascii="Times New Roman" w:cs="Times New Roman" w:eastAsia="Times New Roman" w:hAnsi="Times New Roman"/>
          <w:b/>
          <w:color w:val="000000"/>
        </w:rPr>
        <w:t xml:space="preserve"> „Par kafijas automāta tirdzniecības vietas nomu, kas atrodas Krišjāņa Barona ielā 99c, Rīgā</w:t>
      </w:r>
      <w:r>
        <w:rPr>
          <w:rFonts w:ascii="Times New Roman" w:cs="Times New Roman" w:eastAsia="Times New Roman" w:hAnsi="Times New Roman"/>
          <w:b/>
          <w:color w:val="000000"/>
        </w:rPr>
        <w:t>, izsoles identifikācijas Nr</w:t>
      </w:r>
      <w:r>
        <w:rPr>
          <w:rFonts w:ascii="Times New Roman" w:cs="Times New Roman" w:eastAsia="Times New Roman" w:hAnsi="Times New Roman"/>
          <w:b/>
          <w:color w:val="000000"/>
          <w:shd w:val="clear" w:color="auto" w:fill="efefef"/>
        </w:rPr>
        <w:t>.1-17.2/33”</w:t>
      </w:r>
    </w:p>
    <w:p w14:paraId="00000037">
      <w:pPr>
        <w:numPr>
          <w:ilvl w:val="2"/>
          <w:numId w:val="2"/>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bCs/>
          <w:color w:val="000000"/>
        </w:rPr>
      </w:pPr>
      <w:r>
        <w:rPr>
          <w:rFonts w:ascii="Times New Roman" w:cs="Times New Roman" w:eastAsia="Times New Roman" w:hAnsi="Times New Roman"/>
          <w:b/>
          <w:bCs/>
          <w:color w:val="000000"/>
        </w:rPr>
        <w:t>„Neatvērt pirms piedāvājumu atvēršanas sanāksmes”;</w:t>
      </w:r>
    </w:p>
    <w:p w14:paraId="00000038">
      <w:pPr>
        <w:numPr>
          <w:ilvl w:val="2"/>
          <w:numId w:val="2"/>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bCs/>
          <w:color w:val="000000"/>
        </w:rPr>
      </w:pPr>
      <w:r>
        <w:rPr>
          <w:rFonts w:ascii="Times New Roman" w:cs="Times New Roman" w:eastAsia="Times New Roman" w:hAnsi="Times New Roman"/>
          <w:b/>
          <w:bCs/>
          <w:color w:val="000000"/>
        </w:rPr>
        <w:t>Pretendenta nosaukums un juridiskā/deklarētā dzīvesvietas adrese.</w:t>
      </w:r>
    </w:p>
    <w:p w14:paraId="00000039">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Saņemtos piedāvājumus, Sabiedrības darbinieks reģistrē izsoles piedāvājumu reģistrācijas lapā to saņemšanas secībā, uz aploksnes norādot reģistrācijas numuru, saņemšanas datumu un laiku, apliecinot to ar parakstu.</w:t>
      </w:r>
    </w:p>
    <w:p w14:paraId="0000003A">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Piedāvājumus, kas iesniegti pēc Nolikuma 4.1.punktā noteiktā termiņa, Komisija nereģistrē un neatvērtu atgriež atpakaļ iesniedzējiem.</w:t>
      </w:r>
    </w:p>
    <w:p w14:paraId="0000003B">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Komisija piedāvājumus glabā neatvērtus līdz izsoles sākumam.</w:t>
      </w:r>
    </w:p>
    <w:p w14:paraId="0000003C">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Ziņas par pretendentiem un to skaitu netiek izpaustas līdz izsoles sākumam.</w:t>
      </w:r>
    </w:p>
    <w:p w14:paraId="0000003D">
      <w:pPr>
        <w:pBdr>
          <w:top w:val="nil" w:sz="4" w:space="0"/>
          <w:left w:val="nil" w:sz="4" w:space="0"/>
          <w:bottom w:val="nil" w:sz="4" w:space="0"/>
          <w:right w:val="nil" w:sz="4" w:space="0"/>
          <w:between w:val="nil" w:sz="4" w:space="0"/>
        </w:pBdr>
        <w:spacing w:after="0"/>
        <w:ind w:left="426"/>
        <w:jc w:val="both"/>
        <w:rPr>
          <w:rFonts w:ascii="Times New Roman" w:cs="Times New Roman" w:eastAsia="Times New Roman" w:hAnsi="Times New Roman"/>
          <w:b/>
          <w:i/>
          <w:color w:val="000000"/>
        </w:rPr>
      </w:pPr>
    </w:p>
    <w:p w14:paraId="0000003E">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Izsoles  norises kārtība</w:t>
      </w:r>
    </w:p>
    <w:p w14:paraId="0000003F">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Rakstiska izsole (pretendentu piedāvājumu atvēršana) notiks</w:t>
      </w:r>
      <w:r>
        <w:rPr>
          <w:rFonts w:ascii="Times New Roman" w:cs="Times New Roman" w:eastAsia="Times New Roman" w:hAnsi="Times New Roman"/>
        </w:rPr>
        <w:t xml:space="preserve"> </w:t>
      </w:r>
      <w:r>
        <w:rPr>
          <w:rFonts w:ascii="Times New Roman" w:cs="Times New Roman" w:eastAsia="Times New Roman" w:hAnsi="Times New Roman"/>
          <w:b/>
          <w:bCs/>
        </w:rPr>
        <w:t>17</w:t>
      </w:r>
      <w:r>
        <w:rPr>
          <w:rFonts w:ascii="Times New Roman" w:cs="Times New Roman" w:eastAsia="Times New Roman" w:hAnsi="Times New Roman"/>
          <w:b/>
          <w:bCs/>
        </w:rPr>
        <w:t>.07</w:t>
      </w:r>
      <w:r>
        <w:rPr>
          <w:rFonts w:ascii="Times New Roman" w:cs="Times New Roman" w:eastAsia="Times New Roman" w:hAnsi="Times New Roman"/>
          <w:b/>
          <w:bCs/>
        </w:rPr>
        <w:t>.2026</w:t>
      </w:r>
      <w:r>
        <w:rPr>
          <w:rFonts w:ascii="Times New Roman" w:cs="Times New Roman" w:eastAsia="Times New Roman" w:hAnsi="Times New Roman"/>
          <w:b/>
          <w:bCs/>
        </w:rPr>
        <w:t>.</w:t>
      </w:r>
      <w:r>
        <w:rPr>
          <w:rFonts w:ascii="Times New Roman" w:cs="Times New Roman" w:eastAsia="Times New Roman" w:hAnsi="Times New Roman"/>
          <w:b/>
          <w:color w:val="000000"/>
        </w:rPr>
        <w:t xml:space="preserve"> plkst. 1</w:t>
      </w:r>
      <w:r>
        <w:rPr>
          <w:rFonts w:ascii="Times New Roman" w:cs="Times New Roman" w:eastAsia="Times New Roman" w:hAnsi="Times New Roman"/>
          <w:b/>
        </w:rPr>
        <w:t>1:00</w:t>
      </w:r>
      <w:r>
        <w:rPr>
          <w:rFonts w:ascii="Times New Roman" w:cs="Times New Roman" w:eastAsia="Times New Roman" w:hAnsi="Times New Roman"/>
          <w:b/>
          <w:color w:val="000000"/>
        </w:rPr>
        <w:t>.</w:t>
      </w:r>
      <w:r>
        <w:rPr>
          <w:rFonts w:ascii="Times New Roman" w:cs="Times New Roman" w:eastAsia="Times New Roman" w:hAnsi="Times New Roman"/>
          <w:color w:val="000000"/>
        </w:rPr>
        <w:t xml:space="preserve"> </w:t>
      </w:r>
      <w:r>
        <w:rPr>
          <w:rFonts w:ascii="Times New Roman" w:cs="Times New Roman" w:eastAsia="Times New Roman" w:hAnsi="Times New Roman"/>
          <w:color w:val="000000"/>
        </w:rPr>
        <w:t>Augšielā</w:t>
      </w:r>
      <w:r>
        <w:rPr>
          <w:rFonts w:ascii="Times New Roman" w:cs="Times New Roman" w:eastAsia="Times New Roman" w:hAnsi="Times New Roman"/>
          <w:color w:val="000000"/>
        </w:rPr>
        <w:t xml:space="preserve"> 1, Rīgā, Sabiedrības Administrācijas telpās.</w:t>
      </w:r>
    </w:p>
    <w:p w14:paraId="00000040">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Piedāvājumu atvēršanas sanāksme ir atklāta un tajā var piedalīties visas ieinteresētās personas.</w:t>
      </w:r>
    </w:p>
    <w:p w14:paraId="0000004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Piedāvājumu atvēršanas sēde tiek protokolēta.</w:t>
      </w:r>
    </w:p>
    <w:p w14:paraId="00000042">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Atklājot piedāvājumu atvēršanu, Komisijas priekšsēdētājs nosauc izsoles objekta adresi un sastāvu, paziņo izsoles sākumcenu un informē par izsoles kārtību.</w:t>
      </w:r>
    </w:p>
    <w:p w14:paraId="00000043">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 xml:space="preserve">Komisijas priekšsēdētājs, atverot katru piedāvājumu to iesniegšanas secībā, nosauc nomas tiesību pretendentu, piedāvājuma iesniegšanas datumu un laiku, kā arī nomas tiesību pretendenta piedāvāto nomas maksas apmēru. </w:t>
      </w:r>
    </w:p>
    <w:p w14:paraId="00000044">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Pretendentu piedāvājumu atbilstības pārbaudi Nolikuma prasībām Komisija veic slēgtā sēdes daļā.  Par izsoles rezultātiem visi pretendenti tiek informēti </w:t>
      </w:r>
      <w:r>
        <w:rPr>
          <w:rFonts w:ascii="Times New Roman" w:cs="Times New Roman" w:eastAsia="Times New Roman" w:hAnsi="Times New Roman"/>
          <w:color w:val="000000"/>
        </w:rPr>
        <w:t>rakstveidā</w:t>
      </w:r>
      <w:r>
        <w:rPr>
          <w:rFonts w:ascii="Times New Roman" w:cs="Times New Roman" w:eastAsia="Times New Roman" w:hAnsi="Times New Roman"/>
          <w:color w:val="000000"/>
        </w:rPr>
        <w:t xml:space="preserve"> 3 (trīs) darba dienu laikā pēc lēmuma par izsoles uzvarētāju pieņemšanas.</w:t>
      </w:r>
    </w:p>
    <w:p w14:paraId="00000045">
      <w:pPr>
        <w:numPr>
          <w:ilvl w:val="1"/>
          <w:numId w:val="4"/>
        </w:numPr>
        <w:pBdr>
          <w:top w:val="nil" w:sz="4" w:space="0"/>
          <w:left w:val="nil" w:sz="4" w:space="0"/>
          <w:bottom w:val="nil" w:sz="4" w:space="0"/>
          <w:right w:val="nil" w:sz="4" w:space="0"/>
          <w:between w:val="nil" w:sz="4" w:space="0"/>
        </w:pBdr>
        <w:tabs>
          <w:tab w:val="left" w:pos="426"/>
          <w:tab w:val="left" w:pos="851"/>
        </w:tabs>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Komisija ir tiesīga pieņemt lēmumu par nomas tiesību pretendenta izslēgšanu no dalības rakstiskā izsolē un nomas pieteikumu tālāk neizskata, ja:</w:t>
      </w:r>
    </w:p>
    <w:p w14:paraId="00000046">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piedāvājums nav noformēts atbilstoši Nolikuma 4.2.punktam vai piedāvājumā iztrūkst pieprasītā informācija;</w:t>
      </w:r>
    </w:p>
    <w:p w14:paraId="00000047">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piedāvātais nomas maksas apmērs ir mazāks par Nolikuma 2.3.punktā noteikto izsoles sākumcenu;</w:t>
      </w:r>
    </w:p>
    <w:p w14:paraId="00000048">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pretendents ir iesniedzis nepatiesu informāciju;</w:t>
      </w:r>
    </w:p>
    <w:p w14:paraId="00000049">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pieteikumu ir parakstījusi personas bez pretendenta pārstāvības tiesībām;</w:t>
      </w:r>
    </w:p>
    <w:p w14:paraId="0000004A">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pret pretendentu ir ierosināta maksātnespēja, pretendents atrodas bankrota, likvidācijas stadijā, pretendenta saimnieciskā darbība ir apturēta vai izbeigta;</w:t>
      </w:r>
    </w:p>
    <w:p w14:paraId="0000004B">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 xml:space="preserve">pretendentam ir Valsts ieņēmumu dienesta administrēto nodokļu (nodevu) parādi un to summa pārsniedz EUR 150,00 (viens simts piecdesmit </w:t>
      </w:r>
      <w:r>
        <w:rPr>
          <w:rFonts w:ascii="Times New Roman" w:cs="Times New Roman" w:eastAsia="Times New Roman" w:hAnsi="Times New Roman"/>
          <w:color w:val="000000"/>
        </w:rPr>
        <w:t>euro</w:t>
      </w:r>
      <w:r>
        <w:rPr>
          <w:rFonts w:ascii="Times New Roman" w:cs="Times New Roman" w:eastAsia="Times New Roman" w:hAnsi="Times New Roman"/>
          <w:color w:val="000000"/>
        </w:rPr>
        <w:t xml:space="preserve"> un 00 centi);</w:t>
      </w:r>
    </w:p>
    <w:p w14:paraId="0000004C">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color w:val="000000"/>
        </w:rPr>
      </w:pPr>
      <w:r>
        <w:rPr>
          <w:rFonts w:ascii="Times New Roman" w:cs="Times New Roman" w:eastAsia="Times New Roman" w:hAnsi="Times New Roman"/>
          <w:color w:val="000000"/>
        </w:rPr>
        <w:t>Par izsoles uzvarētāju tiek atzīts pretendents, kura piedāvājums atbilst Nolikuma prasībām un kurš ir nosolījis augstāko nomas maksu.</w:t>
      </w:r>
    </w:p>
    <w:p w14:paraId="0000004D">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color w:val="000000"/>
        </w:rPr>
      </w:pPr>
      <w:r>
        <w:rPr>
          <w:rFonts w:ascii="Times New Roman" w:cs="Times New Roman" w:eastAsia="Times New Roman" w:hAnsi="Times New Roman"/>
          <w:color w:val="000000"/>
        </w:rPr>
        <w:t>Ja pēc visu piedāvājumu atvēršanas Komisija konstatē, ka vairāki pretendenti piedāvājuši vienādu augstāko nomas maksu, Komisija veic vienu no šādām darbībām:</w:t>
      </w:r>
    </w:p>
    <w:p w14:paraId="0000004E">
      <w:pPr>
        <w:numPr>
          <w:ilvl w:val="2"/>
          <w:numId w:val="5"/>
        </w:numPr>
        <w:pBdr>
          <w:top w:val="nil" w:sz="4" w:space="0"/>
          <w:left w:val="nil" w:sz="4" w:space="0"/>
          <w:bottom w:val="nil" w:sz="4" w:space="0"/>
          <w:right w:val="nil" w:sz="4" w:space="0"/>
          <w:between w:val="nil" w:sz="4" w:space="0"/>
        </w:pBdr>
        <w:spacing w:after="0"/>
        <w:ind w:left="1276" w:hanging="556"/>
        <w:jc w:val="both"/>
        <w:rPr>
          <w:rFonts w:ascii="Times New Roman" w:cs="Times New Roman" w:eastAsia="Times New Roman" w:hAnsi="Times New Roman"/>
          <w:b/>
          <w:i/>
          <w:color w:val="000000"/>
        </w:rPr>
      </w:pPr>
      <w:r>
        <w:rPr>
          <w:rFonts w:ascii="Times New Roman" w:cs="Times New Roman" w:eastAsia="Times New Roman" w:hAnsi="Times New Roman"/>
          <w:color w:val="000000"/>
        </w:rPr>
        <w:t>turpina izsoli, pieņemot rakstiskus piedāvājumus no pretendentiem vai to pārstāvjiem, kas piedāvājuši vienādu augstāko nomas maksu, ja tie piedalās piedāvājumu atvēršanā, un organizē tūlītēju piedāvājumu atvēršanu;</w:t>
      </w:r>
    </w:p>
    <w:p w14:paraId="0000004F">
      <w:pPr>
        <w:numPr>
          <w:ilvl w:val="2"/>
          <w:numId w:val="5"/>
        </w:numPr>
        <w:pBdr>
          <w:top w:val="nil" w:sz="4" w:space="0"/>
          <w:left w:val="nil" w:sz="4" w:space="0"/>
          <w:bottom w:val="nil" w:sz="4" w:space="0"/>
          <w:right w:val="nil" w:sz="4" w:space="0"/>
          <w:between w:val="nil" w:sz="4" w:space="0"/>
        </w:pBdr>
        <w:spacing w:after="0"/>
        <w:ind w:left="1276" w:hanging="556"/>
        <w:jc w:val="both"/>
        <w:rPr>
          <w:rFonts w:ascii="Times New Roman" w:cs="Times New Roman" w:eastAsia="Times New Roman" w:hAnsi="Times New Roman"/>
          <w:b/>
          <w:i/>
          <w:color w:val="000000"/>
        </w:rPr>
      </w:pPr>
      <w:r>
        <w:rPr>
          <w:rFonts w:ascii="Times New Roman" w:cs="Times New Roman" w:eastAsia="Times New Roman" w:hAnsi="Times New Roman"/>
          <w:color w:val="000000"/>
        </w:rPr>
        <w:t>gadījumā, ja kāds no pretendentiem, kurš piedāvājis vienādu augstāko nomas maksu, nepiedalās izsolē, Komisija rakstiski lūdz pretendentiem, kuri piedāvājuši vienādu augstāko noma maksu, iesniegt savu piedāvājumu par iespējami augstāko nomas maksu, ievērojot Nolikuma 2.4.punktā minēto minimālo soli un nosaka piedāvājumu iesniegšanas un atvēršanas datumu, laiku un vietu.</w:t>
      </w:r>
    </w:p>
    <w:p w14:paraId="00000050">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neviens no nomas tiesību pretendentiem, kuri piedāvājuši augstāko nomas maksu, neiesniedz jaunu piedāvājumu par augstāko nomas maksu, tad Komisija piedāvājumu iesniegšanas secībā rakstiski piedāvā šiem pretendentiem slēgt nomas līgumu atbilstoši nosolītajai nomas maksai.</w:t>
      </w:r>
    </w:p>
    <w:p w14:paraId="00000051">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visu Pretendentu iesniegtie piedāvājumi neatbilst šīs izsoles Nolikuma prasībām, izsole ir izbeidzama bez rezultāta.</w:t>
      </w:r>
    </w:p>
    <w:p w14:paraId="00000052">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Izsole tiek uzskatīta par nenotikušu, ja:</w:t>
      </w:r>
    </w:p>
    <w:p w14:paraId="00000053">
      <w:pPr>
        <w:numPr>
          <w:ilvl w:val="2"/>
          <w:numId w:val="3"/>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neviens pretendents nav iesniedzis pieteikumu;</w:t>
      </w:r>
    </w:p>
    <w:p w14:paraId="00000054">
      <w:pPr>
        <w:numPr>
          <w:ilvl w:val="2"/>
          <w:numId w:val="3"/>
        </w:numPr>
        <w:pBdr>
          <w:top w:val="nil" w:sz="4" w:space="0"/>
          <w:left w:val="nil" w:sz="4" w:space="0"/>
          <w:bottom w:val="nil" w:sz="4" w:space="0"/>
          <w:right w:val="nil" w:sz="4" w:space="0"/>
          <w:between w:val="nil" w:sz="4" w:space="0"/>
        </w:pBdr>
        <w:spacing w:after="0"/>
        <w:ind w:left="1418" w:hanging="698"/>
        <w:jc w:val="both"/>
        <w:rPr>
          <w:rFonts w:ascii="Times New Roman" w:cs="Times New Roman" w:eastAsia="Times New Roman" w:hAnsi="Times New Roman"/>
          <w:color w:val="000000"/>
        </w:rPr>
      </w:pPr>
      <w:r>
        <w:rPr>
          <w:rFonts w:ascii="Times New Roman" w:cs="Times New Roman" w:eastAsia="Times New Roman" w:hAnsi="Times New Roman"/>
          <w:color w:val="000000"/>
        </w:rPr>
        <w:t>ja neviens no pretendentiem, kurš ieguvis tiesības slēgt nomas līgumu, nenoslēdz to noteiktajā termiņā;</w:t>
      </w:r>
    </w:p>
    <w:p w14:paraId="00000055">
      <w:pPr>
        <w:numPr>
          <w:ilvl w:val="2"/>
          <w:numId w:val="3"/>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ja nomas tiesības iegūst pretendents, kuram nav bijušas tiesības piedalīties izsolē.</w:t>
      </w:r>
    </w:p>
    <w:p w14:paraId="00000056">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izsolei piesakās tikai viens pretendents un tā iesniegtais piedāvājums atbilst Nolikuma prasībām, izsoli atzīt par notikušu un ar vienīgo izsoles pretendentu, ja piedāvātā nomas maksa nav mazāka par izsoles sākumcenu, slēdz nomas līgumu.</w:t>
      </w:r>
    </w:p>
    <w:p w14:paraId="00000057">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Komisijai ir tiesības pārtraukt izsoli, ja tiek iegūta pietiekama informācija un pārliecība, ka pastāv noruna kādu atturēt no piedalīšanās izsolē vai starp pretendentiem pastāv vienošanās, kas var ietekmēt izsoles rezultātus vai gaitu.</w:t>
      </w:r>
    </w:p>
    <w:p w14:paraId="00000058">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Komisija patur tiesības jebkurā brīdī pārtraukt izsoli, ja tā konstatē jebkādas nepilnības Nolikumā.</w:t>
      </w:r>
    </w:p>
    <w:p w14:paraId="00000059">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Pēc lēmuma pieņemšanas par izsoles uzvarētāju, Sabiedrība paziņo izsoles rezultātus visiem pretendentiem, nosūtot rakstisku paziņojumu.</w:t>
      </w:r>
    </w:p>
    <w:p w14:paraId="0000005A">
      <w:pPr>
        <w:spacing w:after="0"/>
        <w:jc w:val="both"/>
        <w:rPr>
          <w:rFonts w:ascii="Times New Roman" w:cs="Times New Roman" w:eastAsia="Times New Roman" w:hAnsi="Times New Roman"/>
          <w:b/>
          <w:i/>
        </w:rPr>
      </w:pPr>
    </w:p>
    <w:p w14:paraId="0000005B">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Nomas līguma noslēgšana</w:t>
      </w:r>
    </w:p>
    <w:p w14:paraId="0000005C">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Sabiedrība noslēdz nomas līgumu (Nolikuma 2.pielikums) ar pretendentu, kurš uzvarējis izsolē.</w:t>
      </w:r>
    </w:p>
    <w:p w14:paraId="0000005D">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 xml:space="preserve">Ja pretendents atsakās noslēgt līgumu, tad viņš paziņo Sabiedrībai </w:t>
      </w:r>
      <w:r>
        <w:rPr>
          <w:rFonts w:ascii="Times New Roman" w:cs="Times New Roman" w:eastAsia="Times New Roman" w:hAnsi="Times New Roman"/>
          <w:color w:val="000000"/>
        </w:rPr>
        <w:t>rakstveidā</w:t>
      </w:r>
      <w:r>
        <w:rPr>
          <w:rFonts w:ascii="Times New Roman" w:cs="Times New Roman" w:eastAsia="Times New Roman" w:hAnsi="Times New Roman"/>
          <w:color w:val="000000"/>
        </w:rPr>
        <w:t>. Ja 7 (septiņu) dienu laikā no Sabiedrības lūguma parakstīt nomas līgumu,  pretendents neparaksta līgumu un neiesniedz paziņojumu par atteikšanos no līguma slēgšanas, ir uzskatāms, ka nomas tiesību pretendents no nomas līguma slēgšanas ir attiecies.</w:t>
      </w:r>
    </w:p>
    <w:p w14:paraId="0000005E">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pretendents, kurš piedāvājis augstāko nomas maksu, atsakās slēgt nomas līgumu, Sabiedrība secīgi piedāvā nomas līgumu slēgt tam pretendentam, kurš piedāvājis nākamo augstāko nomas maksu.</w:t>
      </w:r>
    </w:p>
    <w:p w14:paraId="0000005F">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Pretendents, kurš piedāvājis nākamo augstāko nomas maksu, atbildi uz Nolikuma 6.3.punktā noteikto piedāvājumu sniedz 10 dienu laikā no tās nosūtīšanas dienas. Ja pretendents piekrīt parakstīt nomas līgumu par paša nosolīto augstāko nomas maksu, 7 (septiņu) darba dienu laikā pēc piekrišanas došanas noslēdz nomas līgumu ar Sabiedrību.</w:t>
      </w:r>
    </w:p>
    <w:p w14:paraId="00000060">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Sabiedrība 10 darba dienu laikā pēc nomas līguma noslēgšanas savā mājaslapā internetā </w:t>
      </w:r>
      <w:r>
        <w:rPr>
          <w:rFonts w:ascii="Times New Roman" w:cs="Times New Roman" w:eastAsia="Times New Roman" w:hAnsi="Times New Roman"/>
          <w:color w:val="0563c1"/>
          <w:u w:val="single"/>
        </w:rPr>
        <w:t>www.</w:t>
      </w:r>
      <w:r>
        <w:rPr>
          <w:rFonts w:ascii="Times New Roman" w:cs="Times New Roman" w:eastAsia="Times New Roman" w:hAnsi="Times New Roman"/>
          <w:color w:val="0563c1"/>
          <w:u w:val="single"/>
        </w:rPr>
        <w:fldChar w:fldCharType="begin"/>
      </w:r>
      <w:r>
        <w:rPr>
          <w:rFonts w:ascii="Times New Roman" w:cs="Times New Roman" w:eastAsia="Times New Roman" w:hAnsi="Times New Roman"/>
          <w:color w:val="0563c1"/>
          <w:u w:val="single"/>
        </w:rPr>
        <w:instrText xml:space="preserve">HYPERLINK "http://www.daugavasstadions.lv" </w:instrText>
      </w:r>
      <w:r>
        <w:rPr>
          <w:rFonts w:ascii="Times New Roman" w:cs="Times New Roman" w:eastAsia="Times New Roman" w:hAnsi="Times New Roman"/>
          <w:color w:val="0563c1"/>
          <w:u w:val="single"/>
        </w:rPr>
        <w:fldChar w:fldCharType="separate"/>
      </w:r>
      <w:r>
        <w:rPr>
          <w:rFonts w:ascii="Times New Roman" w:cs="Times New Roman" w:eastAsia="Times New Roman" w:hAnsi="Times New Roman"/>
          <w:color w:val="0563c1"/>
          <w:u w:val="single"/>
        </w:rPr>
        <w:t>lnsc.lv</w:t>
      </w:r>
      <w:r>
        <w:rPr>
          <w:rFonts w:ascii="Times New Roman" w:cs="Times New Roman" w:eastAsia="Times New Roman" w:hAnsi="Times New Roman"/>
          <w:color w:val="000000"/>
        </w:rPr>
        <w:fldChar w:fldCharType="end"/>
      </w:r>
      <w:r>
        <w:rPr>
          <w:rFonts w:ascii="Times New Roman" w:cs="Times New Roman" w:eastAsia="Times New Roman" w:hAnsi="Times New Roman"/>
          <w:color w:val="000000"/>
        </w:rPr>
        <w:t xml:space="preserve"> sadaļas „Par mums” </w:t>
      </w:r>
      <w:r>
        <w:rPr>
          <w:rFonts w:ascii="Times New Roman" w:cs="Times New Roman" w:eastAsia="Times New Roman" w:hAnsi="Times New Roman"/>
          <w:color w:val="000000"/>
        </w:rPr>
        <w:t>apakšsadaļā</w:t>
      </w:r>
      <w:r>
        <w:rPr>
          <w:rFonts w:ascii="Times New Roman" w:cs="Times New Roman" w:eastAsia="Times New Roman" w:hAnsi="Times New Roman"/>
          <w:color w:val="000000"/>
        </w:rPr>
        <w:t xml:space="preserve"> “Iepirkumi un izsoles”, kā arī VAS „Valsts nekustamie īpašumi” mājaslapā internetā </w:t>
      </w:r>
      <w:r>
        <w:rPr>
          <w:rFonts w:ascii="Times New Roman" w:cs="Times New Roman" w:eastAsia="Times New Roman" w:hAnsi="Times New Roman"/>
          <w:color w:val="0563c1"/>
          <w:u w:val="single"/>
        </w:rPr>
        <w:fldChar w:fldCharType="begin"/>
      </w:r>
      <w:r>
        <w:rPr>
          <w:rFonts w:ascii="Times New Roman" w:cs="Times New Roman" w:eastAsia="Times New Roman" w:hAnsi="Times New Roman"/>
          <w:color w:val="0563c1"/>
          <w:u w:val="single"/>
        </w:rPr>
        <w:instrText xml:space="preserve">HYPERLINK "http://www.vni.lv" </w:instrText>
      </w:r>
      <w:r>
        <w:rPr>
          <w:rFonts w:ascii="Times New Roman" w:cs="Times New Roman" w:eastAsia="Times New Roman" w:hAnsi="Times New Roman"/>
          <w:color w:val="0563c1"/>
          <w:u w:val="single"/>
        </w:rPr>
        <w:fldChar w:fldCharType="separate"/>
      </w:r>
      <w:r>
        <w:rPr>
          <w:rFonts w:ascii="Times New Roman" w:cs="Times New Roman" w:eastAsia="Times New Roman" w:hAnsi="Times New Roman"/>
          <w:color w:val="0563c1"/>
          <w:u w:val="single"/>
        </w:rPr>
        <w:t>www.vni.lv</w:t>
      </w:r>
      <w:r>
        <w:rPr>
          <w:rFonts w:ascii="Times New Roman" w:cs="Times New Roman" w:eastAsia="Times New Roman" w:hAnsi="Times New Roman"/>
          <w:color w:val="000000"/>
        </w:rPr>
        <w:fldChar w:fldCharType="end"/>
      </w:r>
      <w:r>
        <w:rPr>
          <w:rFonts w:ascii="Times New Roman" w:cs="Times New Roman" w:eastAsia="Times New Roman" w:hAnsi="Times New Roman"/>
          <w:color w:val="000000"/>
        </w:rPr>
        <w:t xml:space="preserve"> publicē informāciju par noslēgto līgumu.</w:t>
      </w:r>
    </w:p>
    <w:p w14:paraId="00000061">
      <w:pPr>
        <w:rPr>
          <w:rFonts w:ascii="Times New Roman" w:cs="Times New Roman" w:eastAsia="Times New Roman" w:hAnsi="Times New Roman"/>
          <w:color w:val="000000"/>
        </w:rPr>
      </w:pPr>
    </w:p>
    <w:p w14:paraId="00000062">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Pielikumi</w:t>
      </w:r>
    </w:p>
    <w:p w14:paraId="00000063">
      <w:pPr>
        <w:numPr>
          <w:ilvl w:val="1"/>
          <w:numId w:val="4"/>
        </w:numPr>
        <w:pBdr>
          <w:top w:val="nil" w:sz="4" w:space="0"/>
          <w:left w:val="nil" w:sz="4" w:space="0"/>
          <w:bottom w:val="nil" w:sz="4" w:space="0"/>
          <w:right w:val="nil" w:sz="4" w:space="0"/>
          <w:between w:val="nil" w:sz="4" w:space="0"/>
        </w:pBdr>
        <w:spacing w:after="0"/>
        <w:ind w:left="426" w:hanging="426"/>
        <w:rPr>
          <w:rFonts w:ascii="Times New Roman" w:cs="Times New Roman" w:eastAsia="Times New Roman" w:hAnsi="Times New Roman"/>
          <w:color w:val="000000"/>
        </w:rPr>
      </w:pPr>
      <w:r>
        <w:rPr>
          <w:rFonts w:ascii="Times New Roman" w:cs="Times New Roman" w:eastAsia="Times New Roman" w:hAnsi="Times New Roman"/>
          <w:color w:val="000000"/>
        </w:rPr>
        <w:t>1.pielikums - Izsoles pieteikuma veidlapa uz 1 lapas;</w:t>
      </w:r>
    </w:p>
    <w:p w14:paraId="00000064">
      <w:pPr>
        <w:numPr>
          <w:ilvl w:val="1"/>
          <w:numId w:val="4"/>
        </w:numPr>
        <w:pBdr>
          <w:top w:val="nil" w:sz="4" w:space="0"/>
          <w:left w:val="nil" w:sz="4" w:space="0"/>
          <w:bottom w:val="nil" w:sz="4" w:space="0"/>
          <w:right w:val="nil" w:sz="4" w:space="0"/>
          <w:between w:val="nil" w:sz="4" w:space="0"/>
        </w:pBdr>
        <w:spacing w:after="0"/>
        <w:ind w:left="426" w:hanging="426"/>
        <w:rPr>
          <w:rFonts w:ascii="Times New Roman" w:cs="Times New Roman" w:eastAsia="Times New Roman" w:hAnsi="Times New Roman"/>
          <w:color w:val="000000"/>
        </w:rPr>
      </w:pPr>
      <w:r>
        <w:rPr>
          <w:rFonts w:ascii="Times New Roman" w:cs="Times New Roman" w:eastAsia="Times New Roman" w:hAnsi="Times New Roman"/>
          <w:color w:val="000000"/>
        </w:rPr>
        <w:t>2.pielikums -  Nedzīvojamo telpu nomas līguma projekts ar pielikumu uz 6 lapām.</w:t>
      </w:r>
    </w:p>
    <w:p w14:paraId="00000065">
      <w:pPr>
        <w:spacing w:after="0"/>
        <w:jc w:val="both"/>
        <w:rPr>
          <w:rFonts w:ascii="Times New Roman" w:cs="Times New Roman" w:eastAsia="Times New Roman" w:hAnsi="Times New Roman"/>
          <w:b/>
          <w:i/>
        </w:rPr>
      </w:pPr>
    </w:p>
    <w:p w14:paraId="00000066">
      <w:pPr>
        <w:spacing w:after="0"/>
        <w:jc w:val="both"/>
        <w:rPr>
          <w:rFonts w:ascii="Times New Roman" w:cs="Times New Roman" w:eastAsia="Times New Roman" w:hAnsi="Times New Roman"/>
          <w:b/>
          <w:i/>
        </w:rPr>
      </w:pPr>
    </w:p>
    <w:p w14:paraId="00000067">
      <w:pPr>
        <w:spacing w:after="0"/>
        <w:jc w:val="both"/>
        <w:rPr>
          <w:rFonts w:ascii="Times New Roman" w:cs="Times New Roman" w:eastAsia="Times New Roman" w:hAnsi="Times New Roman"/>
          <w:b/>
          <w:i/>
        </w:rPr>
      </w:pPr>
    </w:p>
    <w:p w14:paraId="00000068">
      <w:pPr>
        <w:spacing w:after="0"/>
        <w:jc w:val="both"/>
        <w:rPr>
          <w:rFonts w:ascii="Times New Roman" w:cs="Times New Roman" w:eastAsia="Times New Roman" w:hAnsi="Times New Roman"/>
        </w:rPr>
      </w:pPr>
      <w:r>
        <w:rPr>
          <w:rFonts w:ascii="Times New Roman" w:cs="Times New Roman" w:eastAsia="Times New Roman" w:hAnsi="Times New Roman"/>
        </w:rPr>
        <w:t xml:space="preserve">Komisijas priekšsēdētājs </w:t>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J.Valters</w:t>
      </w:r>
    </w:p>
    <w:p w14:paraId="00000069"/>
    <w:p w14:paraId="0000006A"/>
    <w:sectPr>
      <w:headerReference w:type="default" r:id="rId35"/>
      <w:footerReference w:type="first" r:id="rId36"/>
      <w:pgSz w:w="11906" w:h="16838"/>
      <w:pgMar w:top="709" w:right="566" w:bottom="1135" w:left="1276"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endnote w:type="separator" w:id="0">
    <w:p w14:paraId="00000003">
      <w:pPr>
        <w:spacing w:after="0" w:line="240" w:lineRule="auto"/>
        <w:rPr/>
      </w:pPr>
      <w:r>
        <w:rPr/>
        <w:separator/>
      </w:r>
    </w:p>
  </w:endnote>
  <w:endnote w:type="continuationSeparator" w:id="1">
    <w:p w14:paraId="00000004">
      <w:pPr>
        <w:spacing w:after="0"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00000000" w:usb1="00000000" w:usb2="00000009" w:usb3="00000000" w:csb0="000001ff" w:csb1="00000000"/>
  </w:font>
  <w:font w:name="Symbol">
    <w:panose1 w:val="05050102010706020507"/>
    <w:charset w:val="02"/>
    <w:family w:val="roman"/>
    <w:pitch w:val="variable"/>
    <w:sig w:usb0="00000000" w:usb1="10000000" w:usb2="00000000" w:usb3="00000000" w:csb0="00000000" w:csb1="00000000"/>
  </w:font>
  <w:font w:name="Courier New">
    <w:panose1 w:val="02070309020205020404"/>
    <w:charset w:val="ba"/>
    <w:family w:val="modern"/>
    <w:pitch w:val="fixed"/>
    <w:sig w:usb0="00000000" w:usb1="00000000" w:usb2="00000009" w:usb3="00000000" w:csb0="000001ff" w:csb1="00000000"/>
  </w:font>
  <w:font w:name="Wingdings">
    <w:panose1 w:val="05000000000000000000"/>
    <w:charset w:val="02"/>
    <w:family w:val="auto"/>
    <w:pitch w:val="variable"/>
    <w:sig w:usb0="00000000" w:usb1="10000000" w:usb2="00000000" w:usb3="00000000" w:csb0="00000000" w:csb1="00000000"/>
  </w:font>
  <w:font w:name="Calibri">
    <w:panose1 w:val="020f0502020204030204"/>
    <w:charset w:val="ba"/>
    <w:family w:val="swiss"/>
    <w:pitch w:val="variable"/>
    <w:sig w:usb0="00000000" w:usb1="00000000" w:usb2="00000009" w:usb3="00000000" w:csb0="000001ff" w:csb1="00000000"/>
  </w:font>
  <w:font w:name="Calibri Light">
    <w:panose1 w:val="020f0302020204030204"/>
    <w:charset w:val="ba"/>
    <w:family w:val="swiss"/>
    <w:pitch w:val="variable"/>
    <w:sig w:usb0="00000000" w:usb1="00000000" w:usb2="00000009" w:usb3="00000000" w:csb0="000001ff" w:csb1="00000000"/>
  </w:font>
  <w:font w:name="Times">
    <w:panose1 w:val="02020603050405020304"/>
    <w:charset w:val="ba"/>
    <w:family w:val="roman"/>
    <w:pitch w:val="variable"/>
    <w:sig w:usb0="00000000" w:usb1="00000000" w:usb2="00000009" w:usb3="00000000" w:csb0="000001ff" w:csb1="00000000"/>
  </w:font>
  <w:font w:name="Arial">
    <w:panose1 w:val="020b0604020202020204"/>
    <w:charset w:val="00"/>
    <w:family w:val="swiss"/>
    <w:pitch w:val="variable"/>
    <w:sig w:usb0="20002a87" w:usb1="00000000" w:usb2="00000008" w:usb3="00000000" w:csb0="000001ff" w:csb1="00000000"/>
  </w:font>
  <w:font w:name="Cambria">
    <w:panose1 w:val="02040503050406030204"/>
    <w:charset w:val="00"/>
    <w:family w:val="roman"/>
    <w:pitch w:val="variable"/>
    <w:sig w:usb0="00000000" w:usb1="4000004b" w:usb2="00000000" w:usb3="00000000" w:csb0="0000009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Helvetica Neue">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6D">
    <w:pPr>
      <w:pBdr>
        <w:top w:val="nil" w:sz="4" w:space="0"/>
        <w:left w:val="nil" w:sz="4" w:space="0"/>
        <w:bottom w:val="nil" w:sz="4" w:space="0"/>
        <w:right w:val="nil" w:sz="4" w:space="0"/>
        <w:between w:val="nil" w:sz="4" w:space="0"/>
      </w:pBdr>
      <w:tabs>
        <w:tab w:val="center" w:pos="4153"/>
        <w:tab w:val="right" w:pos="8306"/>
      </w:tabs>
      <w:spacing w:after="0" w:line="240" w:lineRule="auto"/>
      <w:jc w:val="right"/>
      <w:rPr>
        <w:rFonts w:ascii="Times New Roman" w:cs="Times New Roman" w:eastAsia="Times New Roman" w:hAnsi="Times New Roman"/>
        <w:color w:val="000000"/>
        <w:sz w:val="20"/>
        <w:szCs w:val="20"/>
      </w:rPr>
    </w:pPr>
    <w:r>
      <w:rPr>
        <w:rFonts w:ascii="Times New Roman" w:cs="Times New Roman" w:eastAsia="Times New Roman" w:hAnsi="Times New Roman"/>
        <w:color w:val="000000"/>
        <w:sz w:val="20"/>
        <w:szCs w:val="20"/>
      </w:rPr>
      <w:t xml:space="preserve">Lapa </w:t>
    </w:r>
    <w:r>
      <w:rPr>
        <w:rFonts w:ascii="Times New Roman" w:cs="Times New Roman" w:eastAsia="Times New Roman" w:hAnsi="Times New Roman"/>
        <w:color w:val="000000"/>
        <w:sz w:val="20"/>
        <w:szCs w:val="20"/>
      </w:rPr>
      <w:fldChar w:fldCharType="begin"/>
    </w:r>
    <w:r>
      <w:rPr>
        <w:rFonts w:ascii="Times New Roman" w:cs="Times New Roman" w:eastAsia="Times New Roman" w:hAnsi="Times New Roman"/>
        <w:color w:val="000000"/>
        <w:sz w:val="20"/>
        <w:szCs w:val="20"/>
      </w:rPr>
      <w:instrText xml:space="preserve">PAGE</w:instrText>
    </w:r>
    <w:r>
      <w:rPr>
        <w:rFonts w:ascii="Times New Roman" w:cs="Times New Roman" w:eastAsia="Times New Roman" w:hAnsi="Times New Roman"/>
        <w:color w:val="000000"/>
        <w:sz w:val="20"/>
        <w:szCs w:val="20"/>
      </w:rPr>
      <w:fldChar w:fldCharType="separate"/>
    </w:r>
    <w:r>
      <w:rPr>
        <w:rFonts w:ascii="Times New Roman" w:cs="Times New Roman" w:eastAsia="Times New Roman" w:hAnsi="Times New Roman"/>
        <w:color w:val="000000"/>
        <w:sz w:val="20"/>
        <w:szCs w:val="20"/>
      </w:rPr>
      <w:t>1</w:t>
    </w:r>
    <w:r>
      <w:rPr>
        <w:rFonts w:ascii="Times New Roman" w:cs="Times New Roman" w:eastAsia="Times New Roman" w:hAnsi="Times New Roman"/>
        <w:color w:val="000000"/>
        <w:sz w:val="20"/>
        <w:szCs w:val="20"/>
      </w:rPr>
      <w:fldChar w:fldCharType="end"/>
    </w:r>
    <w:r>
      <w:rPr>
        <w:rFonts w:ascii="Times New Roman" w:cs="Times New Roman" w:eastAsia="Times New Roman" w:hAnsi="Times New Roman"/>
        <w:color w:val="000000"/>
        <w:sz w:val="20"/>
        <w:szCs w:val="20"/>
      </w:rPr>
      <w:t xml:space="preserve"> no </w:t>
    </w:r>
    <w:r>
      <w:rPr>
        <w:rFonts w:ascii="Times New Roman" w:cs="Times New Roman" w:eastAsia="Times New Roman" w:hAnsi="Times New Roman"/>
        <w:color w:val="000000"/>
        <w:sz w:val="20"/>
        <w:szCs w:val="20"/>
      </w:rPr>
      <w:fldChar w:fldCharType="begin"/>
    </w:r>
    <w:r>
      <w:rPr>
        <w:rFonts w:ascii="Times New Roman" w:cs="Times New Roman" w:eastAsia="Times New Roman" w:hAnsi="Times New Roman"/>
        <w:color w:val="000000"/>
        <w:sz w:val="20"/>
        <w:szCs w:val="20"/>
      </w:rPr>
      <w:instrText xml:space="preserve">NUMPAGES</w:instrText>
    </w:r>
    <w:r>
      <w:rPr>
        <w:rFonts w:ascii="Times New Roman" w:cs="Times New Roman" w:eastAsia="Times New Roman" w:hAnsi="Times New Roman"/>
        <w:color w:val="000000"/>
        <w:sz w:val="20"/>
        <w:szCs w:val="20"/>
      </w:rPr>
      <w:fldChar w:fldCharType="separate"/>
    </w:r>
    <w:r>
      <w:rPr>
        <w:rFonts w:ascii="Times New Roman" w:cs="Times New Roman" w:eastAsia="Times New Roman" w:hAnsi="Times New Roman"/>
        <w:color w:val="000000"/>
        <w:sz w:val="20"/>
        <w:szCs w:val="20"/>
      </w:rPr>
      <w:t>2</w:t>
    </w:r>
    <w:r>
      <w:rPr>
        <w:rFonts w:ascii="Times New Roman" w:cs="Times New Roman" w:eastAsia="Times New Roman" w:hAnsi="Times New Roman"/>
        <w:color w:val="000000"/>
        <w:sz w:val="20"/>
        <w:szCs w:val="20"/>
      </w:rPr>
      <w:fldChar w:fldCharType="end"/>
    </w:r>
  </w:p>
  <w:p w14:paraId="0000006E">
    <w:pPr>
      <w:pBdr>
        <w:top w:val="nil" w:sz="4" w:space="0"/>
        <w:left w:val="nil" w:sz="4" w:space="0"/>
        <w:bottom w:val="nil" w:sz="4" w:space="0"/>
        <w:right w:val="nil" w:sz="4" w:space="0"/>
        <w:between w:val="nil" w:sz="4" w:space="0"/>
      </w:pBdr>
      <w:tabs>
        <w:tab w:val="center" w:pos="4153"/>
        <w:tab w:val="right" w:pos="8306"/>
      </w:tabs>
      <w:spacing w:after="0" w:line="240" w:lineRule="auto"/>
      <w:rPr>
        <w:rFonts w:ascii="Times New Roman" w:cs="Times New Roman" w:eastAsia="Times New Roman" w:hAnsi="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footnote w:type="separator" w:id="0">
    <w:p w14:paraId="00000001">
      <w:pPr>
        <w:spacing w:after="0" w:line="240" w:lineRule="auto"/>
        <w:rPr/>
      </w:pPr>
      <w:r>
        <w:rPr/>
        <w:separator/>
      </w:r>
    </w:p>
  </w:footnote>
  <w:footnote w:type="continuationSeparator" w:id="1">
    <w:p w14:paraId="00000002">
      <w:pPr>
        <w:spacing w:after="0" w:line="240" w:lineRule="auto"/>
        <w:rPr/>
      </w:pPr>
      <w: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6B">
    <w:pPr>
      <w:pBdr>
        <w:top w:val="nil" w:sz="4" w:space="0"/>
        <w:left w:val="nil" w:sz="4" w:space="0"/>
        <w:bottom w:val="nil" w:sz="4" w:space="0"/>
        <w:right w:val="nil" w:sz="4" w:space="0"/>
        <w:between w:val="nil" w:sz="4" w:space="0"/>
      </w:pBdr>
      <w:tabs>
        <w:tab w:val="center" w:pos="4153"/>
        <w:tab w:val="right" w:pos="8306"/>
      </w:tabs>
      <w:spacing w:after="0" w:line="240" w:lineRule="auto"/>
      <w:jc w:val="center"/>
      <w:rPr>
        <w:rFonts w:ascii="Times New Roman" w:cs="Times New Roman" w:eastAsia="Times New Roman" w:hAnsi="Times New Roman"/>
        <w:color w:val="000000"/>
      </w:rPr>
    </w:pPr>
    <w:r>
      <w:rPr>
        <w:rFonts w:ascii="Times New Roman" w:cs="Times New Roman" w:eastAsia="Times New Roman" w:hAnsi="Times New Roman"/>
        <w:color w:val="000000"/>
      </w:rPr>
      <w:fldChar w:fldCharType="begin"/>
    </w:r>
    <w:r>
      <w:rPr>
        <w:rFonts w:ascii="Times New Roman" w:cs="Times New Roman" w:eastAsia="Times New Roman" w:hAnsi="Times New Roman"/>
        <w:color w:val="000000"/>
      </w:rPr>
      <w:instrText xml:space="preserve">PAGE</w:instrText>
    </w:r>
    <w:r>
      <w:rPr>
        <w:rFonts w:ascii="Times New Roman" w:cs="Times New Roman" w:eastAsia="Times New Roman" w:hAnsi="Times New Roman"/>
        <w:color w:val="000000"/>
      </w:rPr>
      <w:fldChar w:fldCharType="separate"/>
    </w:r>
    <w:r>
      <w:rPr>
        <w:rFonts w:ascii="Times New Roman" w:cs="Times New Roman" w:eastAsia="Times New Roman" w:hAnsi="Times New Roman"/>
        <w:color w:val="000000"/>
      </w:rPr>
      <w:t>2</w:t>
    </w:r>
    <w:r>
      <w:rPr>
        <w:rFonts w:ascii="Times New Roman" w:cs="Times New Roman" w:eastAsia="Times New Roman" w:hAnsi="Times New Roman"/>
        <w:color w:val="000000"/>
      </w:rPr>
      <w:fldChar w:fldCharType="end"/>
    </w:r>
  </w:p>
  <w:p w14:paraId="0000006C">
    <w:pPr>
      <w:pBdr>
        <w:top w:val="nil" w:sz="4" w:space="0"/>
        <w:left w:val="nil" w:sz="4" w:space="0"/>
        <w:bottom w:val="nil" w:sz="4" w:space="0"/>
        <w:right w:val="nil" w:sz="4" w:space="0"/>
        <w:between w:val="nil" w:sz="4" w:space="0"/>
      </w:pBdr>
      <w:tabs>
        <w:tab w:val="center" w:pos="4153"/>
        <w:tab w:val="right" w:pos="8306"/>
      </w:tabs>
      <w:spacing w:after="0" w:line="240" w:lineRule="auto"/>
      <w:rPr>
        <w:color w:val="000000"/>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5.12.%3."/>
      <w:lvlJc w:val="left"/>
      <w:pPr>
        <w:ind w:left="1224" w:hanging="504"/>
      </w:p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5.8.%3."/>
      <w:lvlJc w:val="left"/>
      <w:pPr>
        <w:ind w:left="1224" w:hanging="504"/>
      </w:pPr>
      <w:rPr>
        <w:b w:val="off"/>
        <w:i w:val="off"/>
        <w:u w:val="none"/>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
    <w:multiLevelType w:val="multilevel"/>
    <w:lvl w:ilvl="0" w:tentative="0">
      <w:start w:val="1"/>
      <w:numFmt w:val="decimal"/>
      <w:lvlText w:val="%1."/>
      <w:lvlJc w:val="left"/>
      <w:pPr>
        <w:ind w:left="360" w:hanging="360"/>
      </w:pPr>
    </w:lvl>
    <w:lvl w:ilvl="1" w:tentative="0">
      <w:start w:val="1"/>
      <w:numFmt w:val="decimal"/>
      <w:lvlText w:val="%1.%2."/>
      <w:lvlJc w:val="left"/>
      <w:pPr>
        <w:ind w:left="4118" w:hanging="432"/>
      </w:pPr>
      <w:rPr>
        <w:b w:val="off"/>
        <w:i w:val="off"/>
        <w:color w:val="000000"/>
      </w:rPr>
    </w:lvl>
    <w:lvl w:ilvl="2" w:tentative="0">
      <w:start w:val="1"/>
      <w:numFmt w:val="decimal"/>
      <w:lvlText w:val="%1.%2.%3."/>
      <w:lvlJc w:val="left"/>
      <w:pPr>
        <w:ind w:left="1224" w:hanging="504"/>
      </w:pPr>
      <w:rPr>
        <w:rFonts w:ascii="Times New Roman" w:cs="Times New Roman" w:eastAsia="Times New Roman" w:hAnsi="Times New Roman"/>
        <w:b w:val="off"/>
        <w:i w:val="off"/>
        <w:u w:val="none"/>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3">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4.8.%3."/>
      <w:lvlJc w:val="left"/>
      <w:pPr>
        <w:ind w:left="1224" w:hanging="504"/>
      </w:pPr>
      <w:rPr>
        <w:b w:val="off"/>
        <w:i w:val="off"/>
        <w:u w:val="none"/>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4">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5.9.%3."/>
      <w:lvlJc w:val="left"/>
      <w:pPr>
        <w:ind w:left="1224" w:hanging="504"/>
      </w:pPr>
      <w:rPr>
        <w:b w:val="off"/>
        <w:i w:val="off"/>
        <w:u w:val="none"/>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5">
    <w:multiLevelType w:val="hybridMultilevel"/>
    <w:lvl w:ilvl="0" w:tentative="0">
      <w:start w:val="1"/>
      <w:numFmt w:val="bullet"/>
      <w:lvlText w:val=""/>
      <w:lvlJc w:val="left"/>
      <w:pPr>
        <w:ind w:left="720" w:hanging="360"/>
      </w:pPr>
      <w:rPr>
        <w:rFonts w:ascii="Symbol" w:hAnsi="Symbol"/>
      </w:rPr>
    </w:lvl>
    <w:lvl w:ilvl="1" w:tentative="1">
      <w:start w:val="1"/>
      <w:numFmt w:val="bullet"/>
      <w:lvlText w:val="o"/>
      <w:lvlJc w:val="left"/>
      <w:pPr>
        <w:ind w:left="1440" w:hanging="360"/>
      </w:pPr>
      <w:rPr>
        <w:rFonts w:ascii="Courier New" w:cs="Courier New" w:hAnsi="Courier New"/>
      </w:rPr>
    </w:lvl>
    <w:lvl w:ilvl="2" w:tentative="1">
      <w:start w:val="1"/>
      <w:numFmt w:val="bullet"/>
      <w:lvlText w:val=""/>
      <w:lvlJc w:val="left"/>
      <w:pPr>
        <w:ind w:left="2160" w:hanging="360"/>
      </w:pPr>
      <w:rPr>
        <w:rFonts w:ascii="Wingdings" w:hAnsi="Wingdings"/>
      </w:rPr>
    </w:lvl>
    <w:lvl w:ilvl="3" w:tentative="1">
      <w:start w:val="1"/>
      <w:numFmt w:val="bullet"/>
      <w:lvlText w:val=""/>
      <w:lvlJc w:val="left"/>
      <w:pPr>
        <w:ind w:left="2880" w:hanging="360"/>
      </w:pPr>
      <w:rPr>
        <w:rFonts w:ascii="Symbol" w:hAnsi="Symbol"/>
      </w:rPr>
    </w:lvl>
    <w:lvl w:ilvl="4" w:tentative="1">
      <w:start w:val="1"/>
      <w:numFmt w:val="bullet"/>
      <w:lvlText w:val="o"/>
      <w:lvlJc w:val="left"/>
      <w:pPr>
        <w:ind w:left="3600" w:hanging="360"/>
      </w:pPr>
      <w:rPr>
        <w:rFonts w:ascii="Courier New" w:cs="Courier New" w:hAnsi="Courier New"/>
      </w:rPr>
    </w:lvl>
    <w:lvl w:ilvl="5" w:tentative="1">
      <w:start w:val="1"/>
      <w:numFmt w:val="bullet"/>
      <w:lvlText w:val=""/>
      <w:lvlJc w:val="left"/>
      <w:pPr>
        <w:ind w:left="4320" w:hanging="360"/>
      </w:pPr>
      <w:rPr>
        <w:rFonts w:ascii="Wingdings" w:hAnsi="Wingdings"/>
      </w:rPr>
    </w:lvl>
    <w:lvl w:ilvl="6" w:tentative="1">
      <w:start w:val="1"/>
      <w:numFmt w:val="bullet"/>
      <w:lvlText w:val=""/>
      <w:lvlJc w:val="left"/>
      <w:pPr>
        <w:ind w:left="5040" w:hanging="360"/>
      </w:pPr>
      <w:rPr>
        <w:rFonts w:ascii="Symbol" w:hAnsi="Symbol"/>
      </w:rPr>
    </w:lvl>
    <w:lvl w:ilvl="7" w:tentative="1">
      <w:start w:val="1"/>
      <w:numFmt w:val="bullet"/>
      <w:lvlText w:val="o"/>
      <w:lvlJc w:val="left"/>
      <w:pPr>
        <w:ind w:left="5760" w:hanging="360"/>
      </w:pPr>
      <w:rPr>
        <w:rFonts w:ascii="Courier New" w:cs="Courier New" w:hAnsi="Courier New"/>
      </w:rPr>
    </w:lvl>
    <w:lvl w:ilvl="8" w:tentative="1">
      <w:start w:val="1"/>
      <w:numFmt w:val="bullet"/>
      <w:lvlText w:val=""/>
      <w:lvlJc w:val="left"/>
      <w:pPr>
        <w:ind w:left="6480" w:hanging="360"/>
      </w:pPr>
      <w:rPr>
        <w:rFonts w:ascii="Wingdings" w:hAnsi="Wingdings"/>
      </w:rPr>
    </w:lvl>
  </w:abstractNum>
  <w:num w:numId="1">
    <w:abstractNumId w:val="1"/>
  </w:num>
  <w:num w:numId="2">
    <w:abstractNumId w:val="3"/>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8D1"/>
    <w:rsid w:val="000B3314"/>
    <w:rsid w:val="00131108"/>
    <w:rsid w:val="003C303A"/>
    <w:rsid w:val="00643C1C"/>
    <w:rsid w:val="009553CD"/>
    <w:rsid w:val="00B162E9"/>
    <w:rsid w:val="00BB2D45"/>
    <w:rsid w:val="00CE2ADE"/>
    <w:rsid w:val="00DC5419"/>
    <w:rsid w:val="00F228D1"/>
    <w:rsid w:val="00FA7A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F5CC9"/>
  <w15:chartTrackingRefBased/>
  <w15:docId w15:val="{4FCC9004-BD9A-44B7-AFFC-B1A855F81B7F}"/>
  <w:footnotePr>
    <w:footnote w:id="0"/>
    <w:footnote w:id="1"/>
  </w:footnotePr>
  <w:endnotePr>
    <w:endnote w:id="0"/>
    <w:endnote w:id="1"/>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lv-LV" w:bidi="ar-SA" w:eastAsia="en-US"/>
        <w14:ligatures w14:val="standardContextual"/>
      </w:rPr>
    </w:rPrDefault>
    <w:pPrDefault>
      <w:pPr>
        <w:spacing w:after="160" w:line="259" w:lineRule="auto"/>
      </w:pPr>
    </w:pPrDefault>
  </w:docDefaults>
  <w:style w:type="paragraph" w:default="1" w:styleId="Normal">
    <w:name w:val="Normal"/>
    <w:uiPriority w:val="99"/>
    <w:qFormat w:val="on"/>
    <w:rPr>
      <w:rFonts w:ascii="Calibri" w:cs="Calibri" w:eastAsia="Calibri" w:hAnsi="Calibri"/>
      <w:lang w:eastAsia="lv-LV"/>
    </w:rPr>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 w:type="character" w:styleId="Hyperlink">
    <w:name w:val="Hyperlink"/>
    <w:basedOn w:val="DefaultParagraphFont"/>
    <w:uiPriority w:val="99"/>
    <w:unhideWhenUsed w:val="on"/>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theme" Target="theme/theme1.xml"/><Relationship Id="rId2" Type="http://schemas.openxmlformats.org/officeDocument/2006/relationships/styles" Target="styles.xml"/><Relationship Id="rId3" Type="http://schemas.openxmlformats.org/officeDocument/2006/relationships/settings" Target="settings.xml"/><Relationship Id="rId35" Type="http://schemas.openxmlformats.org/officeDocument/2006/relationships/header" Target="header1.xml"/><Relationship Id="rId36"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endnotes" Target="endnotes.xml"/><Relationship Id="rId4" Type="http://schemas.openxmlformats.org/officeDocument/2006/relationships/webSettings" Target="webSettings.xml"/><Relationship Id="rId7" Type="http://schemas.openxmlformats.org/officeDocument/2006/relationships/hyperlink" Target="http://www.lnsc.lv" TargetMode="External"/><Relationship Id="rId8" Type="http://schemas.openxmlformats.org/officeDocument/2006/relationships/hyperlink" Target="http://www.vni.lv" TargetMode="External"/><Relationship Id="rId9" Type="http://schemas.openxmlformats.org/officeDocument/2006/relationships/hyperlink" Target="http://www.daugavasstadions.lv" TargetMode="External"/><Relationship Id="rId10" Type="http://schemas.openxmlformats.org/officeDocument/2006/relationships/hyperlink" Target="http://www.vni.lv" TargetMode="External"/></Relationships>
</file>

<file path=word/_rels/endnotes.xml.rels><?xml version="1.0" encoding="UTF-8" standalone="yes"?>
<Relationships xmlns="http://schemas.openxmlformats.org/package/2006/relationships"></Relationships>
</file>

<file path=word/_rels/footer1.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7410</Words>
  <Characters>4224</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ingars.ivanovs</dc:creator>
  <cp:lastModifiedBy>Ingars Ivanovs</cp:lastModifiedBy>
</cp:coreProperties>
</file>