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 ContentType="application/vnd.openxmlformats-package.core-properties+xml"/>
  <Override PartName="/word/theme/theme1.xml" ContentType="application/vnd.openxmlformats-officedocument.theme+xml"/>
  <Override PartName="/word/styles.xml" ContentType="application/vnd.openxmlformats-officedocument.wordprocessingml.styles+xml"/>
  <Override PartName="/word/footer1.xml" ContentType="application/vnd.openxmlformats-officedocument.wordprocessingml.footer+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p14="http://schemas.microsoft.com/office/word/2010/wordprocessingDrawing" xmlns:wpi="http://schemas.microsoft.com/office/word/2010/wordprocessingInk" xmlns:aink="http://schemas.microsoft.com/office/drawing/2016/ink">
  <w:body>
    <w:p w14:paraId="00000001">
      <w:pPr>
        <w:tabs>
          <w:tab w:val="left" w:leader="none"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tl w:val="off"/>
        </w:rPr>
        <w:t>APSTIPRINĀTS</w:t>
      </w:r>
    </w:p>
    <w:p w14:paraId="00000002">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tl w:val="off"/>
        </w:rPr>
        <w:t>SIA  “</w:t>
      </w:r>
      <w:r>
        <w:rPr>
          <w:rFonts w:ascii="Times New Roman" w:cs="Times New Roman" w:eastAsia="Times New Roman" w:hAnsi="Times New Roman"/>
          <w:color w:val="000000"/>
          <w:rtl w:val="off"/>
        </w:rPr>
        <w:t>Latvijas Nacionālais sporta centrs”</w:t>
      </w:r>
    </w:p>
    <w:p w14:paraId="00000003">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tl w:val="off"/>
        </w:rPr>
        <w:t>Nekustamā īpašuma komisijas 2025.gada 16.</w:t>
      </w:r>
      <w:r>
        <w:rPr>
          <w:rFonts w:ascii="Times New Roman" w:cs="Times New Roman" w:eastAsia="Times New Roman" w:hAnsi="Times New Roman"/>
          <w:sz w:val="20"/>
          <w:szCs w:val="20"/>
          <w:rtl w:val="off"/>
        </w:rPr>
        <w:t xml:space="preserve"> aprīļa sēdē</w:t>
      </w:r>
    </w:p>
    <w:p w14:paraId="00000004">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tl w:val="off"/>
        </w:rPr>
        <w:t>Protokols Nr. 1-17.1/25</w:t>
      </w:r>
    </w:p>
    <w:p w14:paraId="00000005">
      <w:pPr>
        <w:spacing w:after="0"/>
        <w:jc w:val="right"/>
        <w:rPr>
          <w:rFonts w:ascii="Times New Roman" w:cs="Times New Roman" w:eastAsia="Times New Roman" w:hAnsi="Times New Roman"/>
        </w:rPr>
      </w:pPr>
    </w:p>
    <w:p w14:paraId="00000006">
      <w:pPr>
        <w:spacing w:after="0"/>
        <w:jc w:val="right"/>
        <w:rPr>
          <w:rFonts w:ascii="Times New Roman" w:cs="Times New Roman" w:eastAsia="Times New Roman" w:hAnsi="Times New Roman"/>
        </w:rPr>
      </w:pPr>
    </w:p>
    <w:p w14:paraId="00000007">
      <w:pPr>
        <w:spacing w:after="0"/>
        <w:jc w:val="center"/>
        <w:rPr>
          <w:rFonts w:ascii="Times New Roman" w:cs="Times New Roman" w:eastAsia="Times New Roman" w:hAnsi="Times New Roman"/>
          <w:b/>
        </w:rPr>
      </w:pPr>
      <w:r>
        <w:rPr>
          <w:rFonts w:ascii="Times New Roman" w:cs="Times New Roman" w:eastAsia="Times New Roman" w:hAnsi="Times New Roman"/>
          <w:b/>
          <w:rtl w:val="off"/>
        </w:rPr>
        <w:t>NOMAS TIESĪBU RAKSTISKAS IZSOLES NOLIKUMS</w:t>
      </w:r>
    </w:p>
    <w:p w14:paraId="00000008">
      <w:pPr>
        <w:spacing w:after="0"/>
        <w:jc w:val="center"/>
        <w:rPr>
          <w:rFonts w:ascii="Times New Roman" w:cs="Times New Roman" w:eastAsia="Times New Roman" w:hAnsi="Times New Roman"/>
          <w:sz w:val="23"/>
          <w:szCs w:val="23"/>
        </w:rPr>
      </w:pPr>
      <w:r>
        <w:rPr>
          <w:rFonts w:ascii="Times New Roman" w:cs="Times New Roman" w:eastAsia="Times New Roman" w:hAnsi="Times New Roman"/>
          <w:rtl w:val="off"/>
        </w:rPr>
        <w:t>Nedzīvojamās telpas Nr.4 noma, kas atrodas Roberta Feldmaņa ielā 11, Rīgā</w:t>
      </w:r>
    </w:p>
    <w:p w14:paraId="00000009">
      <w:pPr>
        <w:spacing w:after="0"/>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tl w:val="off"/>
        </w:rPr>
        <w:t xml:space="preserve"> ar kopējo platību 16,5 m</w:t>
      </w:r>
      <w:r>
        <w:rPr>
          <w:rFonts w:ascii="Times New Roman" w:cs="Times New Roman" w:eastAsia="Times New Roman" w:hAnsi="Times New Roman"/>
          <w:sz w:val="23"/>
          <w:szCs w:val="23"/>
          <w:vertAlign w:val="superscript"/>
          <w:rtl w:val="off"/>
        </w:rPr>
        <w:t>2</w:t>
      </w:r>
    </w:p>
    <w:p w14:paraId="0000000A">
      <w:pPr>
        <w:spacing w:after="0"/>
        <w:jc w:val="center"/>
        <w:rPr>
          <w:rFonts w:ascii="Times New Roman" w:cs="Times New Roman" w:eastAsia="Times New Roman" w:hAnsi="Times New Roman"/>
        </w:rPr>
      </w:pPr>
      <w:r>
        <w:rPr>
          <w:rFonts w:ascii="Times New Roman" w:cs="Times New Roman" w:eastAsia="Times New Roman" w:hAnsi="Times New Roman"/>
          <w:rtl w:val="off"/>
        </w:rPr>
        <w:t>Izsoles identifikācijas Nr. 1-17.2/34</w:t>
      </w:r>
    </w:p>
    <w:p w14:paraId="0000000B">
      <w:pPr>
        <w:spacing w:after="0"/>
        <w:jc w:val="center"/>
        <w:rPr>
          <w:rFonts w:ascii="Times New Roman" w:cs="Times New Roman" w:eastAsia="Times New Roman" w:hAnsi="Times New Roman"/>
        </w:rPr>
      </w:pPr>
    </w:p>
    <w:p w14:paraId="0000000C">
      <w:pPr>
        <w:numPr>
          <w:ilvl w:val="0"/>
          <w:numId w:val="2"/>
        </w:numPr>
        <w:pBdr>
          <w:top w:val="nil" w:sz="4" w:space="0"/>
          <w:left w:val="nil" w:sz="4" w:space="0"/>
          <w:bottom w:val="nil" w:sz="4" w:space="0"/>
          <w:right w:val="nil" w:sz="4" w:space="0"/>
          <w:between w:val="nil" w:sz="4" w:space="0"/>
        </w:pBdr>
        <w:spacing w:after="0"/>
        <w:ind w:left="360" w:hanging="360"/>
        <w:jc w:val="both"/>
        <w:rPr>
          <w:rFonts w:ascii="Times New Roman" w:cs="Times New Roman" w:eastAsia="Times New Roman" w:hAnsi="Times New Roman"/>
          <w:b/>
          <w:color w:val="000000"/>
        </w:rPr>
      </w:pPr>
      <w:r>
        <w:rPr>
          <w:rFonts w:ascii="Times New Roman" w:cs="Times New Roman" w:eastAsia="Times New Roman" w:hAnsi="Times New Roman"/>
          <w:b/>
          <w:color w:val="000000"/>
          <w:rtl w:val="off"/>
        </w:rPr>
        <w:t>Vispārīgie noteikumi</w:t>
      </w:r>
    </w:p>
    <w:p w14:paraId="0000000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3znysh7"/>
      <w:bookmarkEnd w:id="0"/>
      <w:r>
        <w:rPr>
          <w:rFonts w:ascii="Times New Roman" w:cs="Times New Roman" w:eastAsia="Times New Roman" w:hAnsi="Times New Roman"/>
          <w:b/>
          <w:color w:val="000000"/>
          <w:rtl w:val="off"/>
        </w:rPr>
        <w:t>I</w:t>
      </w:r>
      <w:r>
        <w:rPr>
          <w:rFonts w:ascii="Times New Roman" w:cs="Times New Roman" w:eastAsia="Times New Roman" w:hAnsi="Times New Roman"/>
          <w:b/>
          <w:color w:val="000000"/>
          <w:rtl w:val="off"/>
        </w:rPr>
        <w:t>znomātājs: S</w:t>
      </w:r>
      <w:r>
        <w:rPr>
          <w:rFonts w:ascii="Times New Roman" w:cs="Times New Roman" w:eastAsia="Times New Roman" w:hAnsi="Times New Roman"/>
          <w:color w:val="000000"/>
          <w:rtl w:val="off"/>
        </w:rPr>
        <w:t>abiedrība ar ierobežotu atbildību “Latvijas Nacionālais sporta centrs” (turpmāk – Sabiedrība), reģistrācijas Nr.50003140671, juridiskā adrese: Augšiela 1, Rīga, LV-1009.</w:t>
      </w:r>
    </w:p>
    <w:p w14:paraId="0000000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tl w:val="off"/>
        </w:rPr>
        <w:t>Izsoli organizē:</w:t>
      </w:r>
      <w:r>
        <w:rPr>
          <w:rFonts w:ascii="Times New Roman" w:cs="Times New Roman" w:eastAsia="Times New Roman" w:hAnsi="Times New Roman"/>
          <w:color w:val="000000"/>
          <w:rtl w:val="off"/>
        </w:rPr>
        <w:t xml:space="preserve"> Sabiedrības Nekustamā īpašuma un inventāra iznomāšanas komisija (turpmāk – Komisija), kas izveidota saskaņā ar Sabiedrības valdes </w:t>
      </w:r>
      <w:r>
        <w:rPr>
          <w:rFonts w:ascii="Times New Roman" w:cs="Times New Roman" w:eastAsia="Times New Roman" w:hAnsi="Times New Roman"/>
          <w:color w:val="222222"/>
          <w:shd w:val="clear" w:color="auto" w:fill="ffffff"/>
        </w:rPr>
        <w:t>2024.gada 3.oktobra rīkojumu Nr.1-3/LNSC/24</w:t>
      </w:r>
      <w:r>
        <w:rPr>
          <w:rFonts w:ascii="Times New Roman" w:cs="Times New Roman" w:eastAsia="Times New Roman" w:hAnsi="Times New Roman"/>
          <w:color w:val="000000"/>
          <w:rtl w:val="off"/>
        </w:rPr>
        <w:t>.</w:t>
      </w:r>
    </w:p>
    <w:p w14:paraId="0000000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tl w:val="off"/>
        </w:rPr>
        <w:t xml:space="preserve">Nomas tiesību rakstveida izsoles nolikums </w:t>
      </w:r>
      <w:r>
        <w:rPr>
          <w:rFonts w:ascii="Times New Roman" w:cs="Times New Roman" w:eastAsia="Times New Roman" w:hAnsi="Times New Roman"/>
          <w:rtl w:val="off"/>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tl w:val="off"/>
        </w:rPr>
        <w:t xml:space="preserve">Izsoles veids: </w:t>
      </w:r>
      <w:r>
        <w:rPr>
          <w:rFonts w:ascii="Times New Roman" w:cs="Times New Roman" w:eastAsia="Times New Roman" w:hAnsi="Times New Roman"/>
          <w:color w:val="000000"/>
          <w:rtl w:val="off"/>
        </w:rPr>
        <w:t>pirmā izsole, rakstiska izsole ar augšupejošu soli.</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tl w:val="off"/>
        </w:rPr>
        <w:t>Izsoles identifikācijas Nr.:</w:t>
      </w:r>
      <w:r>
        <w:rPr>
          <w:rFonts w:ascii="Times New Roman" w:cs="Times New Roman" w:eastAsia="Times New Roman" w:hAnsi="Times New Roman"/>
          <w:b/>
          <w:rtl w:val="off"/>
        </w:rPr>
        <w:t xml:space="preserve"> 1-17.2/34</w:t>
      </w:r>
    </w:p>
    <w:p w14:paraId="00000012">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gjdgxs"/>
      <w:bookmarkEnd w:id="1"/>
      <w:r>
        <w:rPr>
          <w:rFonts w:ascii="Times New Roman" w:cs="Times New Roman" w:eastAsia="Times New Roman" w:hAnsi="Times New Roman"/>
          <w:b/>
          <w:color w:val="000000"/>
          <w:rtl w:val="off"/>
        </w:rPr>
        <w:t>K</w:t>
      </w:r>
      <w:r>
        <w:rPr>
          <w:rFonts w:ascii="Times New Roman" w:cs="Times New Roman" w:eastAsia="Times New Roman" w:hAnsi="Times New Roman"/>
          <w:b/>
          <w:color w:val="000000"/>
          <w:rtl w:val="off"/>
        </w:rPr>
        <w:t xml:space="preserve">ontaktpersona: </w:t>
      </w:r>
      <w:r>
        <w:rPr>
          <w:rFonts w:ascii="Times New Roman" w:cs="Times New Roman" w:eastAsia="Times New Roman" w:hAnsi="Times New Roman"/>
          <w:b w:val="off"/>
          <w:bCs w:val="off"/>
          <w:color w:val="000000"/>
        </w:rPr>
        <w:t>Linards Aveniņš</w:t>
      </w:r>
      <w:r>
        <w:rPr>
          <w:rFonts w:ascii="Times New Roman" w:cs="Times New Roman" w:eastAsia="Times New Roman" w:hAnsi="Times New Roman"/>
          <w:color w:val="000000"/>
        </w:rPr>
        <w:t>, tel.nr. 26536125</w:t>
      </w:r>
      <w:r>
        <w:rPr>
          <w:rFonts w:ascii="Times New Roman" w:cs="Times New Roman" w:eastAsia="Times New Roman" w:hAnsi="Times New Roman"/>
          <w:color w:val="000000"/>
        </w:rPr>
        <w:t>, e-pasts: linards.avenins@lnsc.l</w:t>
      </w:r>
      <w:r>
        <w:rPr>
          <w:rFonts w:ascii="Times New Roman" w:cs="Times New Roman" w:eastAsia="Times New Roman" w:hAnsi="Times New Roman"/>
        </w:rPr>
        <w:t>v.</w:t>
      </w:r>
    </w:p>
    <w:p w14:paraId="00000013">
      <w:pPr>
        <w:spacing w:after="0"/>
        <w:jc w:val="both"/>
        <w:rPr>
          <w:rFonts w:ascii="Times New Roman" w:cs="Times New Roman" w:eastAsia="Times New Roman" w:hAnsi="Times New Roman"/>
        </w:rPr>
      </w:pPr>
      <w:r>
        <w:rPr>
          <w:rFonts w:ascii="Times New Roman" w:cs="Times New Roman" w:eastAsia="Times New Roman" w:hAnsi="Times New Roman"/>
          <w:rtl w:val="off"/>
        </w:rPr>
        <w:t xml:space="preserve">     </w:t>
      </w:r>
    </w:p>
    <w:p w14:paraId="00000014">
      <w:pPr>
        <w:numPr>
          <w:ilvl w:val="0"/>
          <w:numId w:val="4"/>
        </w:numPr>
        <w:pBdr>
          <w:top w:val="nil" w:sz="4" w:space="0"/>
          <w:left w:val="nil" w:sz="4" w:space="0"/>
          <w:bottom w:val="nil" w:sz="4" w:space="0"/>
          <w:right w:val="nil" w:sz="4" w:space="0"/>
          <w:between w:val="nil" w:sz="4" w:space="0"/>
        </w:pBdr>
        <w:spacing w:after="0"/>
        <w:ind w:left="360" w:hanging="360"/>
        <w:jc w:val="center"/>
        <w:rPr>
          <w:rFonts w:ascii="Times New Roman" w:cs="Times New Roman" w:eastAsia="Times New Roman" w:hAnsi="Times New Roman"/>
          <w:b/>
          <w:color w:val="000000"/>
        </w:rPr>
      </w:pPr>
      <w:r>
        <w:rPr>
          <w:rFonts w:ascii="Times New Roman" w:cs="Times New Roman" w:eastAsia="Times New Roman" w:hAnsi="Times New Roman"/>
          <w:b/>
          <w:color w:val="000000"/>
          <w:rtl w:val="off"/>
        </w:rPr>
        <w:t>Izsoles objekts</w:t>
      </w:r>
    </w:p>
    <w:p w14:paraId="00000015">
      <w:pPr>
        <w:numPr>
          <w:ilvl w:val="1"/>
          <w:numId w:val="4"/>
        </w:numPr>
        <w:pBdr>
          <w:top w:val="nil" w:sz="4" w:space="0"/>
          <w:left w:val="nil" w:sz="4" w:space="0"/>
          <w:bottom w:val="nil" w:sz="4" w:space="0"/>
          <w:right w:val="nil" w:sz="4" w:space="0"/>
          <w:between w:val="nil" w:sz="4" w:space="0"/>
        </w:pBdr>
        <w:shd w:val="clear" w:fill="ffffff"/>
        <w:spacing w:after="0"/>
        <w:ind w:left="426" w:hanging="426"/>
        <w:jc w:val="both"/>
        <w:rPr>
          <w:rFonts w:ascii="Times" w:cs="Times" w:eastAsia="Times" w:hAnsi="Times"/>
          <w:b/>
        </w:rPr>
      </w:pPr>
      <w:r>
        <w:rPr>
          <w:rFonts w:ascii="Times New Roman" w:cs="Times New Roman" w:eastAsia="Times New Roman" w:hAnsi="Times New Roman"/>
          <w:b/>
          <w:color w:val="000000"/>
          <w:rtl w:val="off"/>
        </w:rPr>
        <w:t xml:space="preserve">Izsoles objekts: </w:t>
      </w:r>
      <w:r>
        <w:rPr>
          <w:rFonts w:ascii="Times New Roman" w:cs="Times New Roman" w:eastAsia="Times New Roman" w:hAnsi="Times New Roman"/>
          <w:color w:val="000000"/>
          <w:rtl w:val="off"/>
        </w:rPr>
        <w:t>nomas tiesības uz nedzīvojamo telpu Nr.4 ar kopējo platību 16,5</w:t>
      </w:r>
      <w:r>
        <w:rPr>
          <w:rFonts w:ascii="Times New Roman" w:cs="Times New Roman" w:eastAsia="Times New Roman" w:hAnsi="Times New Roman"/>
          <w:b/>
          <w:rtl w:val="off"/>
        </w:rPr>
        <w:t xml:space="preserve"> </w:t>
      </w:r>
      <w:r>
        <w:rPr>
          <w:rFonts w:ascii="Times New Roman" w:cs="Times New Roman" w:eastAsia="Times New Roman" w:hAnsi="Times New Roman"/>
          <w:color w:val="000000"/>
          <w:rtl w:val="off"/>
        </w:rPr>
        <w:t xml:space="preserve">m2  Roberta Feldmaņa ielā 11, Rīgā </w:t>
      </w:r>
      <w:r>
        <w:rPr>
          <w:rFonts w:ascii="Times New Roman" w:cs="Times New Roman" w:eastAsia="Times New Roman" w:hAnsi="Times New Roman"/>
          <w:rtl w:val="off"/>
        </w:rPr>
        <w:t>(turpmāk – Telpas)</w:t>
      </w:r>
      <w:r>
        <w:rPr>
          <w:rFonts w:ascii="Times New Roman" w:cs="Times New Roman" w:eastAsia="Times New Roman" w:hAnsi="Times New Roman"/>
          <w:rtl w:val="off"/>
        </w:rPr>
        <w:t>.</w:t>
      </w:r>
    </w:p>
    <w:p w14:paraId="00000016">
      <w:pPr>
        <w:numPr>
          <w:ilvl w:val="1"/>
          <w:numId w:val="4"/>
        </w:numPr>
        <w:pBdr>
          <w:top w:val="nil" w:sz="4" w:space="0"/>
          <w:left w:val="nil" w:sz="4" w:space="0"/>
          <w:bottom w:val="nil" w:sz="4" w:space="0"/>
          <w:right w:val="nil" w:sz="4" w:space="0"/>
          <w:between w:val="nil" w:sz="4" w:space="0"/>
        </w:pBdr>
        <w:shd w:val="clear"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tl w:val="off"/>
        </w:rPr>
        <w:t>Telpu lietošanas mērķis:</w:t>
      </w:r>
      <w:r>
        <w:rPr>
          <w:rFonts w:ascii="Times New Roman" w:cs="Times New Roman" w:eastAsia="Times New Roman" w:hAnsi="Times New Roman"/>
          <w:b/>
          <w:rtl w:val="off"/>
        </w:rPr>
        <w:t xml:space="preserve"> </w:t>
      </w:r>
      <w:r>
        <w:rPr>
          <w:rFonts w:ascii="Times New Roman" w:cs="Times New Roman" w:eastAsia="Times New Roman" w:hAnsi="Times New Roman"/>
          <w:rtl w:val="off"/>
        </w:rPr>
        <w:t>Biroja telpa.</w:t>
      </w:r>
    </w:p>
    <w:p w14:paraId="00000017">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rtl w:val="off"/>
        </w:rPr>
        <w:t>Telpas i</w:t>
      </w:r>
      <w:r>
        <w:rPr>
          <w:rFonts w:ascii="Times New Roman" w:cs="Times New Roman" w:eastAsia="Times New Roman" w:hAnsi="Times New Roman"/>
          <w:b/>
          <w:color w:val="000000"/>
          <w:rtl w:val="off"/>
        </w:rPr>
        <w:t>zsoles sākumcena: EUR</w:t>
      </w:r>
      <w:r>
        <w:rPr>
          <w:rFonts w:ascii="Times New Roman" w:cs="Times New Roman" w:eastAsia="Times New Roman" w:hAnsi="Times New Roman"/>
          <w:b/>
          <w:rtl w:val="off"/>
        </w:rPr>
        <w:t xml:space="preserve"> 115,00</w:t>
      </w:r>
      <w:r>
        <w:rPr>
          <w:rFonts w:ascii="Times New Roman" w:cs="Times New Roman" w:eastAsia="Times New Roman" w:hAnsi="Times New Roman"/>
          <w:b/>
          <w:color w:val="000000"/>
          <w:rtl w:val="off"/>
        </w:rPr>
        <w:t xml:space="preserve"> </w:t>
      </w:r>
      <w:r>
        <w:rPr>
          <w:rFonts w:ascii="Times New Roman" w:cs="Times New Roman" w:eastAsia="Times New Roman" w:hAnsi="Times New Roman"/>
          <w:color w:val="000000"/>
          <w:rtl w:val="off"/>
        </w:rPr>
        <w:t>(</w:t>
      </w:r>
      <w:r>
        <w:rPr>
          <w:rFonts w:ascii="Times New Roman" w:cs="Times New Roman" w:eastAsia="Times New Roman" w:hAnsi="Times New Roman"/>
          <w:rtl w:val="off"/>
        </w:rPr>
        <w:t xml:space="preserve">deviņdesmit deviņi </w:t>
      </w:r>
      <w:r>
        <w:rPr>
          <w:rFonts w:ascii="Times New Roman" w:cs="Times New Roman" w:eastAsia="Times New Roman" w:hAnsi="Times New Roman"/>
          <w:color w:val="000000"/>
          <w:rtl w:val="off"/>
        </w:rPr>
        <w:t xml:space="preserve">eiro un </w:t>
      </w:r>
      <w:r>
        <w:rPr>
          <w:rFonts w:ascii="Times New Roman" w:cs="Times New Roman" w:eastAsia="Times New Roman" w:hAnsi="Times New Roman"/>
          <w:rtl w:val="off"/>
        </w:rPr>
        <w:t>00</w:t>
      </w:r>
      <w:r>
        <w:rPr>
          <w:rFonts w:ascii="Times New Roman" w:cs="Times New Roman" w:eastAsia="Times New Roman" w:hAnsi="Times New Roman"/>
          <w:color w:val="000000"/>
          <w:rtl w:val="off"/>
        </w:rPr>
        <w:t xml:space="preserve"> centi) bez pievienotās vērtības nodokļa (turpmāk – PVN) </w:t>
      </w:r>
      <w:r>
        <w:rPr>
          <w:rFonts w:ascii="Times New Roman" w:cs="Times New Roman" w:eastAsia="Times New Roman" w:hAnsi="Times New Roman"/>
          <w:b/>
          <w:color w:val="000000"/>
          <w:rtl w:val="off"/>
        </w:rPr>
        <w:t xml:space="preserve">mēnesī. </w:t>
      </w:r>
      <w:r>
        <w:rPr>
          <w:rFonts w:ascii="Times New Roman" w:cs="Times New Roman" w:eastAsia="Times New Roman" w:hAnsi="Times New Roman"/>
          <w:color w:val="000000"/>
          <w:rtl w:val="off"/>
        </w:rPr>
        <w:t>PVN tiek aprēķināts saskaņā ar Latvijas Republikas normatīvajos aktos noteikto likmi.</w:t>
      </w:r>
    </w:p>
    <w:p w14:paraId="0000001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tl w:val="off"/>
        </w:rPr>
        <w:t>Izsoles minimālais solis:</w:t>
      </w:r>
      <w:r>
        <w:rPr>
          <w:rFonts w:ascii="Times New Roman" w:cs="Times New Roman" w:eastAsia="Times New Roman" w:hAnsi="Times New Roman"/>
          <w:color w:val="000000"/>
          <w:rtl w:val="off"/>
        </w:rPr>
        <w:t xml:space="preserve"> EUR </w:t>
      </w:r>
      <w:r>
        <w:rPr>
          <w:rFonts w:ascii="Times New Roman" w:cs="Times New Roman" w:eastAsia="Times New Roman" w:hAnsi="Times New Roman"/>
          <w:rtl w:val="off"/>
        </w:rPr>
        <w:t>15</w:t>
      </w:r>
      <w:r>
        <w:rPr>
          <w:rFonts w:ascii="Times New Roman" w:cs="Times New Roman" w:eastAsia="Times New Roman" w:hAnsi="Times New Roman"/>
          <w:color w:val="000000"/>
          <w:rtl w:val="off"/>
        </w:rPr>
        <w:t>,00  (</w:t>
      </w:r>
      <w:r>
        <w:rPr>
          <w:rFonts w:ascii="Times New Roman" w:cs="Times New Roman" w:eastAsia="Times New Roman" w:hAnsi="Times New Roman"/>
          <w:rtl w:val="off"/>
        </w:rPr>
        <w:t>piecpadsmit</w:t>
      </w:r>
      <w:r>
        <w:rPr>
          <w:rFonts w:ascii="Times New Roman" w:cs="Times New Roman" w:eastAsia="Times New Roman" w:hAnsi="Times New Roman"/>
          <w:color w:val="000000"/>
          <w:rtl w:val="off"/>
        </w:rPr>
        <w:t xml:space="preserve"> eiro un </w:t>
      </w:r>
      <w:r>
        <w:rPr>
          <w:rFonts w:ascii="Times New Roman" w:cs="Times New Roman" w:eastAsia="Times New Roman" w:hAnsi="Times New Roman"/>
          <w:rtl w:val="off"/>
        </w:rPr>
        <w:t>0</w:t>
      </w:r>
      <w:r>
        <w:rPr>
          <w:rFonts w:ascii="Times New Roman" w:cs="Times New Roman" w:eastAsia="Times New Roman" w:hAnsi="Times New Roman"/>
          <w:color w:val="000000"/>
          <w:rtl w:val="off"/>
        </w:rPr>
        <w:t xml:space="preserve">0 centi) par </w:t>
      </w:r>
      <w:r>
        <w:rPr>
          <w:rFonts w:ascii="Times New Roman" w:cs="Times New Roman" w:eastAsia="Times New Roman" w:hAnsi="Times New Roman"/>
          <w:rtl w:val="off"/>
        </w:rPr>
        <w:t>telpu nomu</w:t>
      </w:r>
      <w:r>
        <w:rPr>
          <w:rFonts w:ascii="Times New Roman" w:cs="Times New Roman" w:eastAsia="Times New Roman" w:hAnsi="Times New Roman"/>
          <w:color w:val="000000"/>
          <w:rtl w:val="off"/>
        </w:rPr>
        <w:t xml:space="preserve"> mēnesī.</w:t>
      </w:r>
    </w:p>
    <w:p w14:paraId="0000001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tl w:val="off"/>
        </w:rPr>
        <w:t>Telpu nomas termiņš:</w:t>
      </w:r>
      <w:r>
        <w:rPr>
          <w:rFonts w:ascii="Times New Roman" w:cs="Times New Roman" w:eastAsia="Times New Roman" w:hAnsi="Times New Roman"/>
          <w:color w:val="000000"/>
          <w:rtl w:val="off"/>
        </w:rPr>
        <w:t xml:space="preserve"> </w:t>
      </w:r>
      <w:r>
        <w:rPr>
          <w:rFonts w:ascii="Times New Roman" w:cs="Times New Roman" w:eastAsia="Times New Roman" w:hAnsi="Times New Roman"/>
          <w:rtl w:val="off"/>
        </w:rPr>
        <w:t xml:space="preserve">3 </w:t>
      </w:r>
      <w:r>
        <w:rPr>
          <w:rFonts w:ascii="Times New Roman" w:cs="Times New Roman" w:eastAsia="Times New Roman" w:hAnsi="Times New Roman"/>
          <w:color w:val="000000"/>
          <w:rtl w:val="off"/>
        </w:rPr>
        <w:t>(</w:t>
      </w:r>
      <w:r>
        <w:rPr>
          <w:rFonts w:ascii="Times New Roman" w:cs="Times New Roman" w:eastAsia="Times New Roman" w:hAnsi="Times New Roman"/>
          <w:rtl w:val="off"/>
        </w:rPr>
        <w:t>trīs</w:t>
      </w:r>
      <w:r>
        <w:rPr>
          <w:rFonts w:ascii="Times New Roman" w:cs="Times New Roman" w:eastAsia="Times New Roman" w:hAnsi="Times New Roman"/>
          <w:color w:val="000000"/>
          <w:rtl w:val="off"/>
        </w:rPr>
        <w:t>) gadi.</w:t>
      </w:r>
    </w:p>
    <w:p w14:paraId="0000001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tl w:val="off"/>
        </w:rPr>
        <w:t xml:space="preserve">Telpa tiek </w:t>
      </w:r>
      <w:r>
        <w:rPr>
          <w:rFonts w:ascii="Times New Roman" w:cs="Times New Roman" w:eastAsia="Times New Roman" w:hAnsi="Times New Roman"/>
          <w:b/>
          <w:color w:val="000000"/>
          <w:rtl w:val="off"/>
        </w:rPr>
        <w:t>nodota nomā ar mēbelēm un citiem elementiem. Kvalitatīva pakalpojuma nodrošināšanai Pretendentam nepieciešamie ieguldījumi</w:t>
      </w:r>
      <w:r>
        <w:rPr>
          <w:rFonts w:ascii="Times New Roman" w:cs="Times New Roman" w:eastAsia="Times New Roman" w:hAnsi="Times New Roman"/>
          <w:color w:val="000000"/>
          <w:rtl w:val="off"/>
        </w:rPr>
        <w:t xml:space="preserve"> jāveic nomniekam pašam, pēc saviem ieskatiem, saskaņā ar jomu regulējošiem Latvijas Republikā spēkā esošajiem normatīvajiem aktiem. </w:t>
      </w:r>
    </w:p>
    <w:p w14:paraId="0000001B">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tl w:val="off"/>
        </w:rPr>
        <w:t>Papildu Telpu nomas maksai nomnieks maksā apsaimniekošanas maksu, maksu par  komunālajiem un citiem pakalpojumiem (piemēram, sakaru pakalpojumiem), ja Sabiedrība šādus pakalpojumus nodrošina.</w:t>
      </w:r>
    </w:p>
    <w:p w14:paraId="0000001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tl w:val="off"/>
        </w:rPr>
        <w:t>Nomniekam nav tiesību nodot Telpu vai to daļu apakšnomā trešajām personām.</w:t>
      </w:r>
    </w:p>
    <w:p w14:paraId="0000001D">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tl w:val="off"/>
        </w:rPr>
        <w:t xml:space="preserve">Izsoles objektu pretendents var apskatīt tā atrašanās vietā, apskates laiku (darba dienās) iepriekš saskaņojot ar </w:t>
      </w:r>
      <w:r>
        <w:rPr>
          <w:rFonts w:ascii="Times New Roman" w:cs="Times New Roman" w:eastAsia="Times New Roman" w:hAnsi="Times New Roman"/>
          <w:rtl w:val="off"/>
        </w:rPr>
        <w:t>Normundu Jakušonoku</w:t>
      </w:r>
      <w:r>
        <w:rPr>
          <w:rFonts w:ascii="Times New Roman" w:cs="Times New Roman" w:eastAsia="Times New Roman" w:hAnsi="Times New Roman"/>
          <w:color w:val="000000"/>
          <w:rtl w:val="off"/>
        </w:rPr>
        <w:t>, tel.nr. 2</w:t>
      </w:r>
      <w:r>
        <w:rPr>
          <w:rFonts w:ascii="Times New Roman" w:cs="Times New Roman" w:eastAsia="Times New Roman" w:hAnsi="Times New Roman"/>
          <w:rtl w:val="off"/>
        </w:rPr>
        <w:t>8361585</w:t>
      </w:r>
      <w:r>
        <w:rPr>
          <w:rFonts w:ascii="Times New Roman" w:cs="Times New Roman" w:eastAsia="Times New Roman" w:hAnsi="Times New Roman"/>
          <w:color w:val="000000"/>
          <w:rtl w:val="off"/>
        </w:rPr>
        <w:t>, e-pasts:</w:t>
      </w:r>
      <w:r>
        <w:rPr>
          <w:rFonts w:ascii="Times New Roman" w:cs="Times New Roman" w:eastAsia="Times New Roman" w:hAnsi="Times New Roman"/>
          <w:rtl w:val="off"/>
        </w:rPr>
        <w:t xml:space="preserve"> normunds.jakusonoks@lnsc.lv</w:t>
      </w:r>
    </w:p>
    <w:p w14:paraId="0000001E">
      <w:pPr>
        <w:pBdr>
          <w:top w:val="nil" w:sz="4" w:space="0"/>
          <w:left w:val="nil" w:sz="4" w:space="0"/>
          <w:bottom w:val="nil" w:sz="4" w:space="0"/>
          <w:right w:val="nil" w:sz="4" w:space="0"/>
          <w:between w:val="nil" w:sz="4" w:space="0"/>
        </w:pBdr>
        <w:spacing w:after="0"/>
        <w:ind w:left="360" w:firstLine="0"/>
        <w:jc w:val="both"/>
        <w:rPr>
          <w:rFonts w:ascii="Times New Roman" w:cs="Times New Roman" w:eastAsia="Times New Roman" w:hAnsi="Times New Roman"/>
          <w:b/>
          <w:color w:val="000000"/>
        </w:rPr>
      </w:pPr>
    </w:p>
    <w:p w14:paraId="0000001F">
      <w:pPr>
        <w:numPr>
          <w:ilvl w:val="0"/>
          <w:numId w:val="4"/>
        </w:numPr>
        <w:pBdr>
          <w:top w:val="nil" w:sz="4" w:space="0"/>
          <w:left w:val="nil" w:sz="4" w:space="0"/>
          <w:bottom w:val="nil" w:sz="4" w:space="0"/>
          <w:right w:val="nil" w:sz="4" w:space="0"/>
          <w:between w:val="nil" w:sz="4" w:space="0"/>
        </w:pBdr>
        <w:spacing w:after="0"/>
        <w:ind w:left="360" w:hanging="360"/>
        <w:jc w:val="center"/>
        <w:rPr>
          <w:rFonts w:ascii="Times New Roman" w:cs="Times New Roman" w:eastAsia="Times New Roman" w:hAnsi="Times New Roman"/>
          <w:b/>
          <w:color w:val="000000"/>
        </w:rPr>
      </w:pPr>
      <w:r>
        <w:rPr>
          <w:rFonts w:ascii="Times New Roman" w:cs="Times New Roman" w:eastAsia="Times New Roman" w:hAnsi="Times New Roman"/>
          <w:b/>
          <w:color w:val="000000"/>
          <w:rtl w:val="off"/>
        </w:rPr>
        <w:t>Informācija par izsoles publicēšanu</w:t>
      </w:r>
    </w:p>
    <w:p w14:paraId="0000002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1fob9te"/>
      <w:bookmarkEnd w:id="2"/>
      <w:r>
        <w:rPr>
          <w:rFonts w:ascii="Times New Roman" w:cs="Times New Roman" w:eastAsia="Times New Roman" w:hAnsi="Times New Roman"/>
          <w:color w:val="000000"/>
          <w:rtl w:val="off"/>
        </w:rPr>
        <w:t>S</w:t>
      </w:r>
      <w:r>
        <w:rPr>
          <w:rFonts w:ascii="Times New Roman" w:cs="Times New Roman" w:eastAsia="Times New Roman" w:hAnsi="Times New Roman"/>
          <w:color w:val="000000"/>
          <w:rtl w:val="off"/>
        </w:rPr>
        <w:t xml:space="preserve">ludinājumu par izsoli un nolikumu Sabiedrība publicē savā mājaslapas internetā </w:t>
      </w:r>
      <w:r>
        <w:rPr>
          <w:rFonts w:ascii="Times New Roman" w:cs="Times New Roman" w:eastAsia="Times New Roman" w:hAnsi="Times New Roman"/>
          <w:color w:val="0563c1"/>
          <w:u w:val="single"/>
          <w:rtl w:val="off"/>
        </w:rPr>
        <w:fldChar w:fldCharType="begin"/>
      </w:r>
      <w:r>
        <w:rPr>
          <w:rFonts w:ascii="Times New Roman" w:cs="Times New Roman" w:eastAsia="Times New Roman" w:hAnsi="Times New Roman"/>
          <w:color w:val="0563c1"/>
          <w:u w:val="single"/>
          <w:rtl w:val="off"/>
        </w:rPr>
        <w:instrText xml:space="preserve">HYPERLINK "http://www.lnsc.lv" </w:instrText>
      </w:r>
      <w:r>
        <w:rPr>
          <w:rFonts w:ascii="Times New Roman" w:cs="Times New Roman" w:eastAsia="Times New Roman" w:hAnsi="Times New Roman"/>
          <w:color w:val="0563c1"/>
          <w:u w:val="single"/>
          <w:rtl w:val="off"/>
        </w:rPr>
        <w:fldChar w:fldCharType="separate"/>
      </w:r>
      <w:r>
        <w:rPr>
          <w:rFonts w:ascii="Times New Roman" w:cs="Times New Roman" w:eastAsia="Times New Roman" w:hAnsi="Times New Roman"/>
          <w:color w:val="0563c1"/>
          <w:u w:val="single"/>
          <w:rtl w:val="off"/>
        </w:rPr>
        <w:t>www.lnsc.lv</w:t>
      </w:r>
      <w:r>
        <w:rPr>
          <w:rFonts w:ascii="Times New Roman" w:cs="Times New Roman" w:eastAsia="Times New Roman" w:hAnsi="Times New Roman"/>
          <w:color w:val="000000"/>
          <w:rtl w:val="off"/>
        </w:rPr>
        <w:fldChar w:fldCharType="end"/>
      </w:r>
      <w:r>
        <w:rPr>
          <w:rFonts w:ascii="Times New Roman" w:cs="Times New Roman" w:eastAsia="Times New Roman" w:hAnsi="Times New Roman"/>
          <w:color w:val="000000"/>
          <w:rtl w:val="off"/>
        </w:rPr>
        <w:t xml:space="preserve"> sadaļas „</w:t>
      </w:r>
      <w:r>
        <w:rPr>
          <w:rFonts w:ascii="Times New Roman" w:cs="Times New Roman" w:eastAsia="Times New Roman" w:hAnsi="Times New Roman"/>
          <w:rtl w:val="off"/>
        </w:rPr>
        <w:t>Par mums</w:t>
      </w:r>
      <w:r>
        <w:rPr>
          <w:rFonts w:ascii="Times New Roman" w:cs="Times New Roman" w:eastAsia="Times New Roman" w:hAnsi="Times New Roman"/>
          <w:color w:val="000000"/>
          <w:rtl w:val="off"/>
        </w:rPr>
        <w:t>” apakšsadaļā “I</w:t>
      </w:r>
      <w:r>
        <w:rPr>
          <w:rFonts w:ascii="Times New Roman" w:cs="Times New Roman" w:eastAsia="Times New Roman" w:hAnsi="Times New Roman"/>
          <w:rtl w:val="off"/>
        </w:rPr>
        <w:t>epirkumi un izsoles</w:t>
      </w:r>
      <w:r>
        <w:rPr>
          <w:rFonts w:ascii="Times New Roman" w:cs="Times New Roman" w:eastAsia="Times New Roman" w:hAnsi="Times New Roman"/>
          <w:color w:val="000000"/>
          <w:rtl w:val="off"/>
        </w:rPr>
        <w:t>”.</w:t>
      </w:r>
    </w:p>
    <w:p w14:paraId="0000002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 xml:space="preserve">Sludinājumu par izsoli publicē arī VAS „Valsts nekustamie īpašumi” mājaslapā internetā </w:t>
      </w:r>
      <w:r>
        <w:rPr>
          <w:rFonts w:ascii="Times New Roman" w:cs="Times New Roman" w:eastAsia="Times New Roman" w:hAnsi="Times New Roman"/>
          <w:color w:val="0563c1"/>
          <w:u w:val="single"/>
          <w:rtl w:val="off"/>
        </w:rPr>
        <w:fldChar w:fldCharType="begin"/>
      </w:r>
      <w:r>
        <w:rPr>
          <w:rFonts w:ascii="Times New Roman" w:cs="Times New Roman" w:eastAsia="Times New Roman" w:hAnsi="Times New Roman"/>
          <w:color w:val="0563c1"/>
          <w:u w:val="single"/>
          <w:rtl w:val="off"/>
        </w:rPr>
        <w:instrText xml:space="preserve">HYPERLINK "http://www.vni.lv" </w:instrText>
      </w:r>
      <w:r>
        <w:rPr>
          <w:rFonts w:ascii="Times New Roman" w:cs="Times New Roman" w:eastAsia="Times New Roman" w:hAnsi="Times New Roman"/>
          <w:color w:val="0563c1"/>
          <w:u w:val="single"/>
          <w:rtl w:val="off"/>
        </w:rPr>
        <w:fldChar w:fldCharType="separate"/>
      </w:r>
      <w:r>
        <w:rPr>
          <w:rFonts w:ascii="Times New Roman" w:cs="Times New Roman" w:eastAsia="Times New Roman" w:hAnsi="Times New Roman"/>
          <w:color w:val="0563c1"/>
          <w:u w:val="single"/>
          <w:rtl w:val="off"/>
        </w:rPr>
        <w:t>www.vni.lv</w:t>
      </w:r>
      <w:r>
        <w:rPr>
          <w:rFonts w:ascii="Times New Roman" w:cs="Times New Roman" w:eastAsia="Times New Roman" w:hAnsi="Times New Roman"/>
          <w:color w:val="000000"/>
          <w:rtl w:val="off"/>
        </w:rPr>
        <w:fldChar w:fldCharType="end"/>
      </w:r>
      <w:r>
        <w:rPr>
          <w:rFonts w:ascii="Times New Roman" w:cs="Times New Roman" w:eastAsia="Times New Roman" w:hAnsi="Times New Roman"/>
          <w:color w:val="000000"/>
          <w:rtl w:val="off"/>
        </w:rPr>
        <w:t xml:space="preserve"> </w:t>
      </w:r>
    </w:p>
    <w:p w14:paraId="00000022">
      <w:pPr>
        <w:pBdr>
          <w:top w:val="nil" w:sz="4" w:space="0"/>
          <w:left w:val="nil" w:sz="4" w:space="0"/>
          <w:bottom w:val="nil" w:sz="4" w:space="0"/>
          <w:right w:val="nil" w:sz="4" w:space="0"/>
          <w:between w:val="nil" w:sz="4" w:space="0"/>
        </w:pBdr>
        <w:spacing w:after="0"/>
        <w:ind w:left="426" w:firstLine="0"/>
        <w:jc w:val="both"/>
        <w:rPr>
          <w:rFonts w:ascii="Times New Roman" w:cs="Times New Roman" w:eastAsia="Times New Roman" w:hAnsi="Times New Roman"/>
          <w:b/>
          <w:i/>
          <w:color w:val="000000"/>
        </w:rPr>
      </w:pPr>
    </w:p>
    <w:p w14:paraId="00000023">
      <w:pPr>
        <w:numPr>
          <w:ilvl w:val="0"/>
          <w:numId w:val="4"/>
        </w:numPr>
        <w:pBdr>
          <w:top w:val="nil" w:sz="4" w:space="0"/>
          <w:left w:val="nil" w:sz="4" w:space="0"/>
          <w:bottom w:val="nil" w:sz="4" w:space="0"/>
          <w:right w:val="nil" w:sz="4" w:space="0"/>
          <w:between w:val="nil" w:sz="4" w:space="0"/>
        </w:pBdr>
        <w:spacing w:after="0"/>
        <w:ind w:left="360" w:hanging="360"/>
        <w:jc w:val="center"/>
        <w:rPr>
          <w:rFonts w:ascii="Times New Roman" w:cs="Times New Roman" w:eastAsia="Times New Roman" w:hAnsi="Times New Roman"/>
          <w:b/>
          <w:color w:val="000000"/>
        </w:rPr>
      </w:pPr>
      <w:r>
        <w:rPr>
          <w:rFonts w:ascii="Times New Roman" w:cs="Times New Roman" w:eastAsia="Times New Roman" w:hAnsi="Times New Roman"/>
          <w:b/>
          <w:color w:val="000000"/>
          <w:rtl w:val="off"/>
        </w:rPr>
        <w:t>Piedāvājuma iesniegšanas kārtība un prasības pretendentiem</w:t>
      </w:r>
    </w:p>
    <w:p w14:paraId="0000002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 xml:space="preserve">Pretendents piedāvājumu iesniedz </w:t>
      </w:r>
      <w:r>
        <w:rPr>
          <w:rFonts w:ascii="Times New Roman" w:cs="Times New Roman" w:eastAsia="Times New Roman" w:hAnsi="Times New Roman"/>
          <w:rtl w:val="off"/>
        </w:rPr>
        <w:t xml:space="preserve">līdz </w:t>
      </w:r>
      <w:r>
        <w:rPr>
          <w:rFonts w:ascii="Times New Roman" w:cs="Times New Roman" w:eastAsia="Times New Roman" w:hAnsi="Times New Roman"/>
          <w:b/>
          <w:bCs/>
          <w:rtl w:val="off"/>
        </w:rPr>
        <w:t>07.05.2025</w:t>
      </w:r>
      <w:r>
        <w:rPr>
          <w:rFonts w:ascii="Times New Roman" w:cs="Times New Roman" w:eastAsia="Times New Roman" w:hAnsi="Times New Roman"/>
          <w:b/>
          <w:bCs/>
          <w:color w:val="000000"/>
          <w:rtl w:val="off"/>
        </w:rPr>
        <w:t>.</w:t>
      </w:r>
      <w:r>
        <w:rPr>
          <w:rFonts w:ascii="Times New Roman" w:cs="Times New Roman" w:eastAsia="Times New Roman" w:hAnsi="Times New Roman"/>
          <w:color w:val="000000"/>
          <w:rtl w:val="off"/>
        </w:rPr>
        <w:t xml:space="preserve"> </w:t>
      </w:r>
      <w:r>
        <w:rPr>
          <w:rFonts w:ascii="Times New Roman" w:cs="Times New Roman" w:eastAsia="Times New Roman" w:hAnsi="Times New Roman"/>
          <w:b/>
          <w:color w:val="000000"/>
          <w:rtl w:val="off"/>
        </w:rPr>
        <w:t>plkst. 1</w:t>
      </w:r>
      <w:r>
        <w:rPr>
          <w:rFonts w:ascii="Times New Roman" w:cs="Times New Roman" w:eastAsia="Times New Roman" w:hAnsi="Times New Roman"/>
          <w:b/>
          <w:rtl w:val="off"/>
        </w:rPr>
        <w:t>1</w:t>
      </w:r>
      <w:r>
        <w:rPr>
          <w:rFonts w:ascii="Times New Roman" w:cs="Times New Roman" w:eastAsia="Times New Roman" w:hAnsi="Times New Roman"/>
          <w:b/>
          <w:color w:val="000000"/>
          <w:rtl w:val="off"/>
        </w:rPr>
        <w:t>:00</w:t>
      </w:r>
      <w:r>
        <w:rPr>
          <w:rFonts w:ascii="Times New Roman" w:cs="Times New Roman" w:eastAsia="Times New Roman" w:hAnsi="Times New Roman"/>
          <w:color w:val="000000"/>
          <w:rtl w:val="off"/>
        </w:rPr>
        <w:t xml:space="preserve"> Sabiedrības Administrācijā, Augšielā 1, Rīgā, piedāvājumu iesniedzot personīgi vai nosūtot pa pastu. Pasta sūtījumiem jābūt saņemtiem Sabiedrībā līdz </w:t>
      </w:r>
      <w:r>
        <w:rPr>
          <w:rFonts w:ascii="Times New Roman" w:cs="Times New Roman" w:eastAsia="Times New Roman" w:hAnsi="Times New Roman"/>
          <w:b/>
          <w:bCs/>
          <w:color w:val="000000"/>
          <w:rtl w:val="off"/>
        </w:rPr>
        <w:t>07</w:t>
      </w:r>
      <w:r>
        <w:rPr>
          <w:rFonts w:ascii="Times New Roman" w:cs="Times New Roman" w:eastAsia="Times New Roman" w:hAnsi="Times New Roman"/>
          <w:b/>
          <w:bCs/>
          <w:rtl w:val="off"/>
        </w:rPr>
        <w:t>.05.2025</w:t>
      </w:r>
      <w:r>
        <w:rPr>
          <w:rFonts w:ascii="Times New Roman" w:cs="Times New Roman" w:eastAsia="Times New Roman" w:hAnsi="Times New Roman"/>
          <w:b/>
          <w:bCs/>
          <w:color w:val="000000"/>
          <w:rtl w:val="off"/>
        </w:rPr>
        <w:t>.</w:t>
      </w:r>
      <w:r>
        <w:rPr>
          <w:rFonts w:ascii="Times New Roman" w:cs="Times New Roman" w:eastAsia="Times New Roman" w:hAnsi="Times New Roman"/>
          <w:color w:val="000000"/>
          <w:rtl w:val="off"/>
        </w:rPr>
        <w:t xml:space="preserve"> </w:t>
      </w:r>
      <w:r>
        <w:rPr>
          <w:rFonts w:ascii="Times New Roman" w:cs="Times New Roman" w:eastAsia="Times New Roman" w:hAnsi="Times New Roman"/>
          <w:b/>
          <w:color w:val="000000"/>
          <w:rtl w:val="off"/>
        </w:rPr>
        <w:t>plkst. 1</w:t>
      </w:r>
      <w:r>
        <w:rPr>
          <w:rFonts w:ascii="Times New Roman" w:cs="Times New Roman" w:eastAsia="Times New Roman" w:hAnsi="Times New Roman"/>
          <w:b/>
          <w:rtl w:val="off"/>
        </w:rPr>
        <w:t>1</w:t>
      </w:r>
      <w:r>
        <w:rPr>
          <w:rFonts w:ascii="Times New Roman" w:cs="Times New Roman" w:eastAsia="Times New Roman" w:hAnsi="Times New Roman"/>
          <w:b/>
          <w:color w:val="000000"/>
          <w:rtl w:val="off"/>
        </w:rPr>
        <w:t>:00</w:t>
      </w:r>
      <w:r>
        <w:rPr>
          <w:rFonts w:ascii="Times New Roman" w:cs="Times New Roman" w:eastAsia="Times New Roman" w:hAnsi="Times New Roman"/>
          <w:color w:val="000000"/>
          <w:rtl w:val="off"/>
        </w:rPr>
        <w:t xml:space="preserve">. </w:t>
      </w:r>
    </w:p>
    <w:p w14:paraId="0000002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tl w:val="off"/>
        </w:rPr>
        <w:t>Pretendents piedāvājumu noformē, aizpildot “Pieteikums izsolei” (Nolikuma 1.pielikums), kurā norāda:</w:t>
      </w:r>
    </w:p>
    <w:p w14:paraId="00000026">
      <w:pPr>
        <w:numPr>
          <w:ilvl w:val="2"/>
          <w:numId w:val="4"/>
        </w:numPr>
        <w:pBdr>
          <w:top w:val="nil" w:sz="4" w:space="0"/>
          <w:left w:val="nil" w:sz="4" w:space="0"/>
          <w:bottom w:val="nil" w:sz="4" w:space="0"/>
          <w:right w:val="nil" w:sz="4" w:space="0"/>
          <w:between w:val="nil" w:sz="4" w:space="0"/>
        </w:pBdr>
        <w:tabs>
          <w:tab w:val="left" w:leader="none" w:pos="1134"/>
        </w:tabs>
        <w:spacing w:after="0"/>
        <w:ind w:left="1224" w:hanging="504"/>
        <w:jc w:val="both"/>
        <w:rPr>
          <w:rFonts w:ascii="Times New Roman" w:cs="Times New Roman" w:eastAsia="Times New Roman" w:hAnsi="Times New Roman"/>
          <w:color w:val="000000"/>
        </w:rPr>
      </w:pPr>
      <w:r>
        <w:rPr>
          <w:rFonts w:ascii="Times New Roman" w:cs="Times New Roman" w:eastAsia="Times New Roman" w:hAnsi="Times New Roman"/>
          <w:color w:val="000000"/>
          <w:rtl w:val="off"/>
        </w:rPr>
        <w:t>fiziska persona – vārdu, uzvārdu, personas kodu, deklarētās dzīvesvietas adresi;</w:t>
      </w:r>
    </w:p>
    <w:p w14:paraId="00000027">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tl w:val="off"/>
        </w:rPr>
        <w:t>juridiska persona – nosaukumu, reģistrācijas numuru, juridisko adresi;</w:t>
      </w:r>
    </w:p>
    <w:p w14:paraId="00000028">
      <w:pPr>
        <w:numPr>
          <w:ilvl w:val="2"/>
          <w:numId w:val="4"/>
        </w:numPr>
        <w:pBdr>
          <w:top w:val="nil" w:sz="4" w:space="0"/>
          <w:left w:val="nil" w:sz="4" w:space="0"/>
          <w:bottom w:val="nil" w:sz="4" w:space="0"/>
          <w:right w:val="nil" w:sz="4" w:space="0"/>
          <w:between w:val="nil" w:sz="4" w:space="0"/>
        </w:pBdr>
        <w:spacing w:after="0"/>
        <w:ind w:left="1224"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nomas tiesību pretendenta pārstāvja vārdu, uzvārdu, personas kodu (ja ir), pievienojot pilnvaru (oriģinālu vai apliecinātu kopiju) attiecīgajai personai pārstāvēt pretendenta intereses. Pilnvarā ir jābūt  norādītam, ka persona ir pilnvarota piedalīties Telpu nomas tiesību izsolē. Fiziskās personas izsniegtai pilnvarai ir jābūt apliecinātai notariāli;</w:t>
      </w:r>
    </w:p>
    <w:p w14:paraId="00000029">
      <w:pPr>
        <w:numPr>
          <w:ilvl w:val="2"/>
          <w:numId w:val="4"/>
        </w:numPr>
        <w:pBdr>
          <w:top w:val="nil" w:sz="4" w:space="0"/>
          <w:left w:val="nil" w:sz="4" w:space="0"/>
          <w:bottom w:val="nil" w:sz="4" w:space="0"/>
          <w:right w:val="nil" w:sz="4" w:space="0"/>
          <w:between w:val="nil" w:sz="4" w:space="0"/>
        </w:pBdr>
        <w:spacing w:after="0"/>
        <w:ind w:left="1224" w:hanging="515"/>
        <w:jc w:val="both"/>
        <w:rPr>
          <w:rFonts w:ascii="Times New Roman" w:cs="Times New Roman" w:eastAsia="Times New Roman" w:hAnsi="Times New Roman"/>
          <w:color w:val="000000"/>
        </w:rPr>
      </w:pPr>
      <w:r>
        <w:rPr>
          <w:rFonts w:ascii="Times New Roman" w:cs="Times New Roman" w:eastAsia="Times New Roman" w:hAnsi="Times New Roman"/>
          <w:color w:val="000000"/>
          <w:rtl w:val="off"/>
        </w:rPr>
        <w:t>kontakttālruni un elektroniskā pasta adresi;</w:t>
      </w:r>
    </w:p>
    <w:p w14:paraId="0000002A">
      <w:pPr>
        <w:numPr>
          <w:ilvl w:val="2"/>
          <w:numId w:val="4"/>
        </w:numPr>
        <w:pBdr>
          <w:top w:val="nil" w:sz="4" w:space="0"/>
          <w:left w:val="nil" w:sz="4" w:space="0"/>
          <w:bottom w:val="nil" w:sz="4" w:space="0"/>
          <w:right w:val="nil" w:sz="4" w:space="0"/>
          <w:between w:val="nil" w:sz="4" w:space="0"/>
        </w:pBdr>
        <w:tabs>
          <w:tab w:val="left" w:leader="none"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tl w:val="off"/>
        </w:rPr>
        <w:t>Izsoles objekta adresi un platību;</w:t>
      </w:r>
    </w:p>
    <w:p w14:paraId="0000002B">
      <w:pPr>
        <w:numPr>
          <w:ilvl w:val="2"/>
          <w:numId w:val="4"/>
        </w:numPr>
        <w:pBdr>
          <w:top w:val="nil" w:sz="4" w:space="0"/>
          <w:left w:val="nil" w:sz="4" w:space="0"/>
          <w:bottom w:val="nil" w:sz="4" w:space="0"/>
          <w:right w:val="nil" w:sz="4" w:space="0"/>
          <w:between w:val="nil" w:sz="4" w:space="0"/>
        </w:pBdr>
        <w:tabs>
          <w:tab w:val="left" w:leader="none"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tl w:val="off"/>
        </w:rPr>
        <w:t>nomas laikā plānotās darbības izsoles objektā;</w:t>
      </w:r>
    </w:p>
    <w:p w14:paraId="0000002C">
      <w:pPr>
        <w:numPr>
          <w:ilvl w:val="2"/>
          <w:numId w:val="4"/>
        </w:numPr>
        <w:pBdr>
          <w:top w:val="nil" w:sz="4" w:space="0"/>
          <w:left w:val="nil" w:sz="4" w:space="0"/>
          <w:bottom w:val="nil" w:sz="4" w:space="0"/>
          <w:right w:val="nil" w:sz="4" w:space="0"/>
          <w:between w:val="nil" w:sz="4" w:space="0"/>
        </w:pBdr>
        <w:tabs>
          <w:tab w:val="left" w:leader="none"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tl w:val="off"/>
        </w:rPr>
        <w:t>piedāvāto nomas maksas apmēru par vienu iznomājamās platības kvadrātmetru mēnesī bez pievienotās vērtības nodokļa.</w:t>
      </w:r>
    </w:p>
    <w:p w14:paraId="0000002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Pretendents var iesniegt vienu piedāvājuma variantu.</w:t>
      </w:r>
    </w:p>
    <w:p w14:paraId="0000002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Piedāvājumam jābūt spēkā vismaz 1 (vienu) mēnesi no piedāvājuma atvēršanas brīža.</w:t>
      </w:r>
    </w:p>
    <w:p w14:paraId="0000002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 xml:space="preserve">Piedāvājums ar tam pievienotajiem dokumentiem ir jābūt cauršūtiem,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tl w:val="off"/>
        </w:rPr>
        <w:t>Uz aploksnes jānorāda šāda informācija:</w:t>
      </w:r>
    </w:p>
    <w:p w14:paraId="00000032">
      <w:pPr>
        <w:numPr>
          <w:ilvl w:val="2"/>
          <w:numId w:val="2"/>
        </w:numPr>
        <w:pBdr>
          <w:top w:val="nil" w:sz="4" w:space="0"/>
          <w:left w:val="nil" w:sz="4" w:space="0"/>
          <w:bottom w:val="nil" w:sz="4" w:space="0"/>
          <w:right w:val="nil" w:sz="4" w:space="0"/>
          <w:between w:val="nil" w:sz="4" w:space="0"/>
        </w:pBdr>
        <w:spacing w:after="0"/>
        <w:ind w:left="1224" w:hanging="504"/>
        <w:jc w:val="both"/>
        <w:rPr>
          <w:rFonts w:ascii="Times New Roman" w:cs="Times New Roman" w:eastAsia="Times New Roman" w:hAnsi="Times New Roman"/>
          <w:b/>
          <w:color w:val="000000"/>
        </w:rPr>
      </w:pPr>
      <w:r>
        <w:rPr>
          <w:rFonts w:ascii="Times New Roman" w:cs="Times New Roman" w:eastAsia="Times New Roman" w:hAnsi="Times New Roman"/>
          <w:color w:val="000000"/>
          <w:rtl w:val="off"/>
        </w:rPr>
        <w:t>Adresāts:</w:t>
      </w:r>
      <w:r>
        <w:rPr>
          <w:rFonts w:ascii="Times New Roman" w:cs="Times New Roman" w:eastAsia="Times New Roman" w:hAnsi="Times New Roman"/>
          <w:b/>
          <w:color w:val="000000"/>
          <w:rtl w:val="off"/>
        </w:rPr>
        <w:t xml:space="preserve"> SIA „ Latvijas Nacionālais sporta centrs”, Augšiela 1, Rīga, LV-1009;</w:t>
      </w:r>
    </w:p>
    <w:p w14:paraId="00000033">
      <w:pPr>
        <w:numPr>
          <w:ilvl w:val="2"/>
          <w:numId w:val="2"/>
        </w:numPr>
        <w:pBdr>
          <w:top w:val="nil" w:sz="4" w:space="0"/>
          <w:left w:val="nil" w:sz="4" w:space="0"/>
          <w:bottom w:val="nil" w:sz="4" w:space="0"/>
          <w:right w:val="nil" w:sz="4" w:space="0"/>
          <w:between w:val="nil" w:sz="4" w:space="0"/>
        </w:pBdr>
        <w:spacing w:after="0"/>
        <w:ind w:left="1224" w:hanging="504"/>
        <w:jc w:val="both"/>
        <w:rPr>
          <w:rFonts w:ascii="Times New Roman" w:cs="Times New Roman" w:eastAsia="Times New Roman" w:hAnsi="Times New Roman"/>
          <w:b/>
          <w:color w:val="000000"/>
        </w:rPr>
      </w:pPr>
      <w:r>
        <w:rPr>
          <w:rFonts w:ascii="Times New Roman" w:cs="Times New Roman" w:eastAsia="Times New Roman" w:hAnsi="Times New Roman"/>
          <w:b/>
          <w:color w:val="000000"/>
          <w:rtl w:val="off"/>
        </w:rPr>
        <w:t xml:space="preserve"> „Nedzīvojamās telpas Nr.4 noma, kas atrodas Roberta Feldmaņa ielā 11, Rīgā ar kopējo platību 16,5 m2, izsoles identifikācijas </w:t>
      </w:r>
      <w:r>
        <w:rPr>
          <w:rFonts w:ascii="Times New Roman" w:cs="Times New Roman" w:eastAsia="Times New Roman" w:hAnsi="Times New Roman"/>
          <w:b/>
          <w:color w:val="000000"/>
          <w:highlight w:val="white"/>
          <w:rtl w:val="off"/>
        </w:rPr>
        <w:t>Nr.</w:t>
      </w:r>
      <w:r>
        <w:rPr>
          <w:rFonts w:ascii="Times New Roman" w:cs="Times New Roman" w:eastAsia="Times New Roman" w:hAnsi="Times New Roman"/>
          <w:b/>
          <w:highlight w:val="white"/>
          <w:rtl w:val="off"/>
        </w:rPr>
        <w:t xml:space="preserve"> 1-17.2/34</w:t>
      </w:r>
      <w:r>
        <w:rPr>
          <w:rFonts w:ascii="Times New Roman" w:cs="Times New Roman" w:eastAsia="Times New Roman" w:hAnsi="Times New Roman"/>
          <w:b/>
          <w:color w:val="000000"/>
          <w:highlight w:val="white"/>
          <w:rtl w:val="off"/>
        </w:rPr>
        <w:t>”</w:t>
      </w:r>
    </w:p>
    <w:p w14:paraId="00000034">
      <w:pPr>
        <w:numPr>
          <w:ilvl w:val="2"/>
          <w:numId w:val="2"/>
        </w:numPr>
        <w:pBdr>
          <w:top w:val="nil" w:sz="4" w:space="0"/>
          <w:left w:val="nil" w:sz="4" w:space="0"/>
          <w:bottom w:val="nil" w:sz="4" w:space="0"/>
          <w:right w:val="nil" w:sz="4" w:space="0"/>
          <w:between w:val="nil" w:sz="4" w:space="0"/>
        </w:pBdr>
        <w:spacing w:after="0"/>
        <w:ind w:left="1224" w:hanging="504"/>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tl w:val="off"/>
        </w:rPr>
        <w:t>„Neatvērt pirms piedāvājumu atvēršanas sanāksmes”;</w:t>
      </w:r>
    </w:p>
    <w:p w14:paraId="00000035">
      <w:pPr>
        <w:numPr>
          <w:ilvl w:val="2"/>
          <w:numId w:val="2"/>
        </w:numPr>
        <w:pBdr>
          <w:top w:val="nil" w:sz="4" w:space="0"/>
          <w:left w:val="nil" w:sz="4" w:space="0"/>
          <w:bottom w:val="nil" w:sz="4" w:space="0"/>
          <w:right w:val="nil" w:sz="4" w:space="0"/>
          <w:between w:val="nil" w:sz="4" w:space="0"/>
        </w:pBdr>
        <w:spacing w:after="0"/>
        <w:ind w:left="1224" w:hanging="504"/>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tl w:val="off"/>
        </w:rPr>
        <w:t>Pretendenta nosaukums un juridiskā/deklarētā dzīvesvietas adrese.</w:t>
      </w:r>
    </w:p>
    <w:p w14:paraId="00000036">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Saņemtos piedāvājumus, Sabiedrības darbinieks reģistrē izsoles piedāvājumu reģistrācijas lapā to saņemšanas secībā, uz aploksnes norādot reģistrācijas numuru, saņemšanas datumu un laiku, apliecinot to ar parakstu.</w:t>
      </w:r>
    </w:p>
    <w:p w14:paraId="00000037">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Piedāvājumus, kas iesniegti pēc Nolikuma 4.1.punktā noteiktā termiņa, Komisija nereģistrē un neatvērtu atgriež atpakaļ iesniedzējiem.</w:t>
      </w:r>
    </w:p>
    <w:p w14:paraId="00000038">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Komisija piedāvājumus glabā neatvērtus līdz izsoles sākumam.</w:t>
      </w:r>
    </w:p>
    <w:p w14:paraId="00000039">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Ziņas par pretendentiem un to skaitu netiek izpaustas līdz izsoles sākumam.</w:t>
      </w:r>
    </w:p>
    <w:p w14:paraId="0000003A">
      <w:pPr>
        <w:pBdr>
          <w:top w:val="nil" w:sz="4" w:space="0"/>
          <w:left w:val="nil" w:sz="4" w:space="0"/>
          <w:bottom w:val="nil" w:sz="4" w:space="0"/>
          <w:right w:val="nil" w:sz="4" w:space="0"/>
          <w:between w:val="nil" w:sz="4" w:space="0"/>
        </w:pBdr>
        <w:spacing w:after="0"/>
        <w:ind w:left="426" w:firstLine="0"/>
        <w:jc w:val="both"/>
        <w:rPr>
          <w:rFonts w:ascii="Times New Roman" w:cs="Times New Roman" w:eastAsia="Times New Roman" w:hAnsi="Times New Roman"/>
          <w:b/>
          <w:i/>
          <w:color w:val="000000"/>
        </w:rPr>
      </w:pPr>
    </w:p>
    <w:p w14:paraId="0000003B">
      <w:pPr>
        <w:numPr>
          <w:ilvl w:val="0"/>
          <w:numId w:val="4"/>
        </w:numPr>
        <w:pBdr>
          <w:top w:val="nil" w:sz="4" w:space="0"/>
          <w:left w:val="nil" w:sz="4" w:space="0"/>
          <w:bottom w:val="nil" w:sz="4" w:space="0"/>
          <w:right w:val="nil" w:sz="4" w:space="0"/>
          <w:between w:val="nil" w:sz="4" w:space="0"/>
        </w:pBdr>
        <w:spacing w:after="0"/>
        <w:ind w:left="360" w:hanging="360"/>
        <w:jc w:val="center"/>
        <w:rPr>
          <w:rFonts w:ascii="Times New Roman" w:cs="Times New Roman" w:eastAsia="Times New Roman" w:hAnsi="Times New Roman"/>
          <w:b/>
          <w:color w:val="000000"/>
        </w:rPr>
      </w:pPr>
      <w:r>
        <w:rPr>
          <w:rFonts w:ascii="Times New Roman" w:cs="Times New Roman" w:eastAsia="Times New Roman" w:hAnsi="Times New Roman"/>
          <w:b/>
          <w:color w:val="000000"/>
          <w:rtl w:val="off"/>
        </w:rPr>
        <w:t>Izsoles  norises kārtība</w:t>
      </w:r>
    </w:p>
    <w:p w14:paraId="0000003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 xml:space="preserve">Rakstiska izsole (pretendentu piedāvājumu atvēršana) notiks </w:t>
      </w:r>
      <w:r>
        <w:rPr>
          <w:rFonts w:ascii="Times New Roman" w:cs="Times New Roman" w:eastAsia="Times New Roman" w:hAnsi="Times New Roman"/>
          <w:b/>
          <w:highlight w:val="white"/>
          <w:rtl w:val="off"/>
        </w:rPr>
        <w:t>07.05.2025.</w:t>
      </w:r>
      <w:r>
        <w:rPr>
          <w:rFonts w:ascii="Times New Roman" w:cs="Times New Roman" w:eastAsia="Times New Roman" w:hAnsi="Times New Roman"/>
          <w:b/>
          <w:color w:val="000000"/>
          <w:rtl w:val="off"/>
        </w:rPr>
        <w:t xml:space="preserve"> plkst. 1</w:t>
      </w:r>
      <w:r>
        <w:rPr>
          <w:rFonts w:ascii="Times New Roman" w:cs="Times New Roman" w:eastAsia="Times New Roman" w:hAnsi="Times New Roman"/>
          <w:b/>
          <w:rtl w:val="off"/>
        </w:rPr>
        <w:t>1</w:t>
      </w:r>
      <w:r>
        <w:rPr>
          <w:rFonts w:ascii="Times New Roman" w:cs="Times New Roman" w:eastAsia="Times New Roman" w:hAnsi="Times New Roman"/>
          <w:b/>
          <w:color w:val="000000"/>
          <w:rtl w:val="off"/>
        </w:rPr>
        <w:t>:0</w:t>
      </w:r>
      <w:r>
        <w:rPr>
          <w:rFonts w:ascii="Times New Roman" w:cs="Times New Roman" w:eastAsia="Times New Roman" w:hAnsi="Times New Roman"/>
          <w:b/>
          <w:rtl w:val="off"/>
        </w:rPr>
        <w:t>0</w:t>
      </w:r>
      <w:r>
        <w:rPr>
          <w:rFonts w:ascii="Times New Roman" w:cs="Times New Roman" w:eastAsia="Times New Roman" w:hAnsi="Times New Roman"/>
          <w:b/>
          <w:color w:val="000000"/>
          <w:rtl w:val="off"/>
        </w:rPr>
        <w:t>.</w:t>
      </w:r>
      <w:r>
        <w:rPr>
          <w:rFonts w:ascii="Times New Roman" w:cs="Times New Roman" w:eastAsia="Times New Roman" w:hAnsi="Times New Roman"/>
          <w:color w:val="000000"/>
          <w:rtl w:val="off"/>
        </w:rPr>
        <w:t xml:space="preserve"> Augšielā 1, Rīgā, Sabiedrības Administrācijas telpās.</w:t>
      </w:r>
    </w:p>
    <w:p w14:paraId="0000003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Piedāvājumu atvēršanas sanāksme ir atklāta un tajā var piedalīties visas ieinteresētās personas.</w:t>
      </w:r>
    </w:p>
    <w:p w14:paraId="0000003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Piedāvājumu atvēršanas sēde tiek protokolēta.</w:t>
      </w:r>
    </w:p>
    <w:p w14:paraId="0000003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Atklājot piedāvājumu atvēršanu, Komisijas priekšsēdētājs nosauc izsoles objekta adresi un sastāvu, paziņo izsoles sākumcenu un informē par izsoles kārtību.</w:t>
      </w:r>
    </w:p>
    <w:p w14:paraId="0000004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tl w:val="off"/>
        </w:rPr>
        <w:t>Pretendentu piedāvājumu atbilstības pārbaudi Nolikuma prasībām Komisija veic slēgtā sēdes daļā.  Par izsoles rezultātiem visi pretendenti tiek informēti rakstveidā 3 (trīs) darba dienu laikā pēc lēmuma par izsoles uzvarētāju pieņemšanas.</w:t>
      </w:r>
    </w:p>
    <w:p w14:paraId="00000042">
      <w:pPr>
        <w:numPr>
          <w:ilvl w:val="1"/>
          <w:numId w:val="4"/>
        </w:numPr>
        <w:pBdr>
          <w:top w:val="nil" w:sz="4" w:space="0"/>
          <w:left w:val="nil" w:sz="4" w:space="0"/>
          <w:bottom w:val="nil" w:sz="4" w:space="0"/>
          <w:right w:val="nil" w:sz="4" w:space="0"/>
          <w:between w:val="nil" w:sz="4" w:space="0"/>
        </w:pBdr>
        <w:tabs>
          <w:tab w:val="left" w:leader="none" w:pos="426"/>
          <w:tab w:val="left" w:leader="none"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Komisija ir tiesīga pieņemt lēmumu par nomas tiesību pretendenta izslēgšanu no dalības rakstiskā izsolē un nomas pieteikumu tālāk neizskata, ja:</w:t>
      </w:r>
    </w:p>
    <w:p w14:paraId="00000043">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ja piedāvājums nav noformēts atbilstoši Nolikuma 4.2.punktam vai piedāvājumā iztrūkst pieprasītā informācija;</w:t>
      </w:r>
    </w:p>
    <w:p w14:paraId="00000044">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ja piedāvātais nomas maksas apmērs ir mazāks par Nolikuma 2.3.punktā noteikto izsoles sākumcenu;</w:t>
      </w:r>
    </w:p>
    <w:p w14:paraId="00000045">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ja pretendents ir iesniedzis nepatiesu informāciju;</w:t>
      </w:r>
    </w:p>
    <w:p w14:paraId="00000046">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ja pieteikumu ir parakstījusi personas bez pretendenta pārstāvības tiesībām;</w:t>
      </w:r>
    </w:p>
    <w:p w14:paraId="00000047">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ja pret pretendentu ir ierosināta maksātnespēja, pretendents atrodas bankrota, likvidācijas stadijā, pretendenta saimnieciskā darbība ir apturēta vai izbeigta;</w:t>
      </w:r>
    </w:p>
    <w:p w14:paraId="00000048">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pretendentam ir Valsts ieņēmumu dienesta administrēto nodokļu (nodevu) parādi un to summa pārsniedz EUR 150,00 (viens simts piecdesmit euro un 00 centi);</w:t>
      </w:r>
    </w:p>
    <w:p w14:paraId="0000004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tl w:val="off"/>
        </w:rPr>
        <w:t>Par izsoles uzvarētāju tiek atzīts pretendents, kura piedāvājums atbilst Nolikuma prasībām un kurš ir nosolījis augstāko nomas maksu.</w:t>
      </w:r>
    </w:p>
    <w:p w14:paraId="0000004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tl w:val="off"/>
        </w:rPr>
        <w:t>Ja pēc visu piedāvājumu atvēršanas Komisija konstatē, ka vairāki pretendenti piedāvājuši vienādu augstāko nomas maksu, Komisija veic vienu no šādām darbībām:</w:t>
      </w:r>
    </w:p>
    <w:p w14:paraId="0000004B">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turpina izsoli, pieņemot rakstiskus piedāvājumus no pretendentiem vai to pārstāvjiem, kas piedāvājuši vienādu augstāko nomas maksu, ja tie piedalās piedāvājumu atvēršanā, un organizē tūlītēju piedāvājumu atvēršanu;</w:t>
      </w:r>
    </w:p>
    <w:p w14:paraId="0000004C">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4D">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4E">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Ja visu Pretendentu iesniegtie piedāvājumi neatbilst šīs izsoles Nolikuma prasībām, izsole ir izbeidzama bez rezultāta.</w:t>
      </w:r>
    </w:p>
    <w:p w14:paraId="0000004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Izsole tiek uzskatīta par nenotikušu, ja:</w:t>
      </w:r>
    </w:p>
    <w:p w14:paraId="00000050">
      <w:pPr>
        <w:numPr>
          <w:ilvl w:val="2"/>
          <w:numId w:val="3"/>
        </w:numPr>
        <w:pBdr>
          <w:top w:val="nil" w:sz="4" w:space="0"/>
          <w:left w:val="nil" w:sz="4" w:space="0"/>
          <w:bottom w:val="nil" w:sz="4" w:space="0"/>
          <w:right w:val="nil" w:sz="4" w:space="0"/>
          <w:between w:val="nil" w:sz="4" w:space="0"/>
        </w:pBdr>
        <w:spacing w:after="0"/>
        <w:ind w:left="1224" w:hanging="504"/>
        <w:jc w:val="both"/>
        <w:rPr>
          <w:rFonts w:ascii="Times New Roman" w:cs="Times New Roman" w:eastAsia="Times New Roman" w:hAnsi="Times New Roman"/>
          <w:color w:val="000000"/>
        </w:rPr>
      </w:pPr>
      <w:r>
        <w:rPr>
          <w:rFonts w:ascii="Times New Roman" w:cs="Times New Roman" w:eastAsia="Times New Roman" w:hAnsi="Times New Roman"/>
          <w:color w:val="000000"/>
          <w:rtl w:val="off"/>
        </w:rPr>
        <w:t>neviens pretendents nav iesniedzis pieteikumu;</w:t>
      </w:r>
    </w:p>
    <w:p w14:paraId="00000051">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tl w:val="off"/>
        </w:rPr>
        <w:t>ja neviens no pretendentiem, kurš ieguvis tiesības slēgt nomas līgumu, nenoslēdz to noteiktajā termiņā;</w:t>
      </w:r>
    </w:p>
    <w:p w14:paraId="00000052">
      <w:pPr>
        <w:numPr>
          <w:ilvl w:val="2"/>
          <w:numId w:val="3"/>
        </w:numPr>
        <w:pBdr>
          <w:top w:val="nil" w:sz="4" w:space="0"/>
          <w:left w:val="nil" w:sz="4" w:space="0"/>
          <w:bottom w:val="nil" w:sz="4" w:space="0"/>
          <w:right w:val="nil" w:sz="4" w:space="0"/>
          <w:between w:val="nil" w:sz="4" w:space="0"/>
        </w:pBdr>
        <w:spacing w:after="0"/>
        <w:ind w:left="1224" w:hanging="504"/>
        <w:jc w:val="both"/>
        <w:rPr>
          <w:rFonts w:ascii="Times New Roman" w:cs="Times New Roman" w:eastAsia="Times New Roman" w:hAnsi="Times New Roman"/>
          <w:color w:val="000000"/>
        </w:rPr>
      </w:pPr>
      <w:r>
        <w:rPr>
          <w:rFonts w:ascii="Times New Roman" w:cs="Times New Roman" w:eastAsia="Times New Roman" w:hAnsi="Times New Roman"/>
          <w:color w:val="000000"/>
          <w:rtl w:val="off"/>
        </w:rPr>
        <w:t>ja nomas tiesības iegūst pretendents, kuram nav bijušas tiesības piedalīties izsolē.</w:t>
      </w:r>
    </w:p>
    <w:p w14:paraId="00000053">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4">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5">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Komisija patur tiesības jebkurā brīdī pārtraukt izsoli, ja tā konstatē jebkādas nepilnības Nolikumā.</w:t>
      </w:r>
    </w:p>
    <w:p w14:paraId="00000056">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Pēc lēmuma pieņemšanas par izsoles uzvarētāju, Sabiedrība paziņo izsoles rezultātus visiem pretendentiem, nosūtot rakstisku paziņojumu.</w:t>
      </w:r>
    </w:p>
    <w:p w14:paraId="00000057">
      <w:pPr>
        <w:spacing w:after="0"/>
        <w:jc w:val="both"/>
        <w:rPr>
          <w:rFonts w:ascii="Times New Roman" w:cs="Times New Roman" w:eastAsia="Times New Roman" w:hAnsi="Times New Roman"/>
          <w:b/>
          <w:i/>
        </w:rPr>
      </w:pPr>
    </w:p>
    <w:p w14:paraId="00000058">
      <w:pPr>
        <w:numPr>
          <w:ilvl w:val="0"/>
          <w:numId w:val="4"/>
        </w:numPr>
        <w:pBdr>
          <w:top w:val="nil" w:sz="4" w:space="0"/>
          <w:left w:val="nil" w:sz="4" w:space="0"/>
          <w:bottom w:val="nil" w:sz="4" w:space="0"/>
          <w:right w:val="nil" w:sz="4" w:space="0"/>
          <w:between w:val="nil" w:sz="4" w:space="0"/>
        </w:pBdr>
        <w:spacing w:after="0"/>
        <w:ind w:left="360" w:hanging="360"/>
        <w:jc w:val="center"/>
        <w:rPr>
          <w:rFonts w:ascii="Times New Roman" w:cs="Times New Roman" w:eastAsia="Times New Roman" w:hAnsi="Times New Roman"/>
          <w:b/>
          <w:color w:val="000000"/>
        </w:rPr>
      </w:pPr>
      <w:r>
        <w:rPr>
          <w:rFonts w:ascii="Times New Roman" w:cs="Times New Roman" w:eastAsia="Times New Roman" w:hAnsi="Times New Roman"/>
          <w:b/>
          <w:color w:val="000000"/>
          <w:rtl w:val="off"/>
        </w:rPr>
        <w:t>Nomas līguma noslēgšana</w:t>
      </w:r>
    </w:p>
    <w:p w14:paraId="0000005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Sabiedrība noslēdz nomas līgumu (Nolikuma 2.pielikums) ar pretendentu, kurš uzvarējis izsolē.</w:t>
      </w:r>
    </w:p>
    <w:p w14:paraId="0000005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Ja pretendents atsakās noslēgt līgumu, tad viņš paziņo Sabiedrībai rakstveidā.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Ja pretendents, kurš piedāvājis augstāko nomas maksu, atsakās slēgt nomas līgumu, Sabiedrība secīgi piedāvā nomas līgumu slēgt tam pretendentam, kurš piedāvājis nākamo augstāko nomas maksu.</w:t>
      </w:r>
    </w:p>
    <w:p w14:paraId="0000005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5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tl w:val="off"/>
        </w:rPr>
        <w:t xml:space="preserve">Sabiedrība 10 darba dienu laikā pēc nomas līguma noslēgšanas savā mājaslapā internetā </w:t>
      </w:r>
      <w:r>
        <w:rPr>
          <w:rFonts w:ascii="Times New Roman" w:cs="Times New Roman" w:eastAsia="Times New Roman" w:hAnsi="Times New Roman"/>
          <w:color w:val="0563c1"/>
          <w:u w:val="single"/>
          <w:rtl w:val="off"/>
        </w:rPr>
        <w:t>www.</w:t>
      </w:r>
      <w:r>
        <w:rPr>
          <w:rFonts w:ascii="Times New Roman" w:cs="Times New Roman" w:eastAsia="Times New Roman" w:hAnsi="Times New Roman"/>
          <w:color w:val="0563c1"/>
          <w:u w:val="single"/>
          <w:rtl w:val="off"/>
        </w:rPr>
        <w:fldChar w:fldCharType="begin"/>
      </w:r>
      <w:r>
        <w:rPr>
          <w:rFonts w:ascii="Times New Roman" w:cs="Times New Roman" w:eastAsia="Times New Roman" w:hAnsi="Times New Roman"/>
          <w:color w:val="0563c1"/>
          <w:u w:val="single"/>
          <w:rtl w:val="off"/>
        </w:rPr>
        <w:instrText xml:space="preserve">HYPERLINK "http://www.daugavasstadions.lv" </w:instrText>
      </w:r>
      <w:r>
        <w:rPr>
          <w:rFonts w:ascii="Times New Roman" w:cs="Times New Roman" w:eastAsia="Times New Roman" w:hAnsi="Times New Roman"/>
          <w:color w:val="0563c1"/>
          <w:u w:val="single"/>
          <w:rtl w:val="off"/>
        </w:rPr>
        <w:fldChar w:fldCharType="separate"/>
      </w:r>
      <w:r>
        <w:rPr>
          <w:rFonts w:ascii="Times New Roman" w:cs="Times New Roman" w:eastAsia="Times New Roman" w:hAnsi="Times New Roman"/>
          <w:color w:val="0563c1"/>
          <w:u w:val="single"/>
          <w:rtl w:val="off"/>
        </w:rPr>
        <w:t>lnsc.lv</w:t>
      </w:r>
      <w:r>
        <w:rPr>
          <w:rFonts w:ascii="Times New Roman" w:cs="Times New Roman" w:eastAsia="Times New Roman" w:hAnsi="Times New Roman"/>
          <w:color w:val="000000"/>
          <w:rtl w:val="off"/>
        </w:rPr>
        <w:fldChar w:fldCharType="end"/>
      </w:r>
      <w:r>
        <w:rPr>
          <w:rFonts w:ascii="Times New Roman" w:cs="Times New Roman" w:eastAsia="Times New Roman" w:hAnsi="Times New Roman"/>
          <w:color w:val="000000"/>
          <w:rtl w:val="off"/>
        </w:rPr>
        <w:t xml:space="preserve"> sadaļas „</w:t>
      </w:r>
      <w:r>
        <w:rPr>
          <w:rFonts w:ascii="Times New Roman" w:cs="Times New Roman" w:eastAsia="Times New Roman" w:hAnsi="Times New Roman"/>
          <w:rtl w:val="off"/>
        </w:rPr>
        <w:t>Par mums</w:t>
      </w:r>
      <w:r>
        <w:rPr>
          <w:rFonts w:ascii="Times New Roman" w:cs="Times New Roman" w:eastAsia="Times New Roman" w:hAnsi="Times New Roman"/>
          <w:color w:val="000000"/>
          <w:rtl w:val="off"/>
        </w:rPr>
        <w:t>” apakšsadaļā “I</w:t>
      </w:r>
      <w:r>
        <w:rPr>
          <w:rFonts w:ascii="Times New Roman" w:cs="Times New Roman" w:eastAsia="Times New Roman" w:hAnsi="Times New Roman"/>
          <w:rtl w:val="off"/>
        </w:rPr>
        <w:t>epirkumi un izsoles</w:t>
      </w:r>
      <w:r>
        <w:rPr>
          <w:rFonts w:ascii="Times New Roman" w:cs="Times New Roman" w:eastAsia="Times New Roman" w:hAnsi="Times New Roman"/>
          <w:color w:val="000000"/>
          <w:rtl w:val="off"/>
        </w:rPr>
        <w:t xml:space="preserve">”, kā arī VAS „Valsts nekustamie īpašumi” mājaslapā internetā </w:t>
      </w:r>
      <w:r>
        <w:rPr>
          <w:rFonts w:ascii="Times New Roman" w:cs="Times New Roman" w:eastAsia="Times New Roman" w:hAnsi="Times New Roman"/>
          <w:color w:val="0563c1"/>
          <w:u w:val="single"/>
          <w:rtl w:val="off"/>
        </w:rPr>
        <w:fldChar w:fldCharType="begin"/>
      </w:r>
      <w:r>
        <w:rPr>
          <w:rFonts w:ascii="Times New Roman" w:cs="Times New Roman" w:eastAsia="Times New Roman" w:hAnsi="Times New Roman"/>
          <w:color w:val="0563c1"/>
          <w:u w:val="single"/>
          <w:rtl w:val="off"/>
        </w:rPr>
        <w:instrText xml:space="preserve">HYPERLINK "http://www.vni.lv" </w:instrText>
      </w:r>
      <w:r>
        <w:rPr>
          <w:rFonts w:ascii="Times New Roman" w:cs="Times New Roman" w:eastAsia="Times New Roman" w:hAnsi="Times New Roman"/>
          <w:color w:val="0563c1"/>
          <w:u w:val="single"/>
          <w:rtl w:val="off"/>
        </w:rPr>
        <w:fldChar w:fldCharType="separate"/>
      </w:r>
      <w:r>
        <w:rPr>
          <w:rFonts w:ascii="Times New Roman" w:cs="Times New Roman" w:eastAsia="Times New Roman" w:hAnsi="Times New Roman"/>
          <w:color w:val="0563c1"/>
          <w:u w:val="single"/>
          <w:rtl w:val="off"/>
        </w:rPr>
        <w:t>www.vni.lv</w:t>
      </w:r>
      <w:r>
        <w:rPr>
          <w:rFonts w:ascii="Times New Roman" w:cs="Times New Roman" w:eastAsia="Times New Roman" w:hAnsi="Times New Roman"/>
          <w:color w:val="000000"/>
          <w:rtl w:val="off"/>
        </w:rPr>
        <w:fldChar w:fldCharType="end"/>
      </w:r>
      <w:r>
        <w:rPr>
          <w:rFonts w:ascii="Times New Roman" w:cs="Times New Roman" w:eastAsia="Times New Roman" w:hAnsi="Times New Roman"/>
          <w:color w:val="000000"/>
          <w:rtl w:val="off"/>
        </w:rPr>
        <w:t xml:space="preserve"> publicē informāciju par noslēgto līgumu.</w:t>
      </w:r>
    </w:p>
    <w:p w14:paraId="0000005E">
      <w:pPr>
        <w:numPr>
          <w:ilvl w:val="0"/>
          <w:numId w:val="4"/>
        </w:numPr>
        <w:pBdr>
          <w:top w:val="nil" w:sz="4" w:space="0"/>
          <w:left w:val="nil" w:sz="4" w:space="0"/>
          <w:bottom w:val="nil" w:sz="4" w:space="0"/>
          <w:right w:val="nil" w:sz="4" w:space="0"/>
          <w:between w:val="nil" w:sz="4" w:space="0"/>
        </w:pBdr>
        <w:spacing w:after="0"/>
        <w:ind w:left="360" w:hanging="360"/>
        <w:jc w:val="center"/>
        <w:rPr>
          <w:rFonts w:ascii="Times New Roman" w:cs="Times New Roman" w:eastAsia="Times New Roman" w:hAnsi="Times New Roman"/>
          <w:b/>
          <w:color w:val="000000"/>
        </w:rPr>
      </w:pPr>
      <w:r>
        <w:rPr>
          <w:rFonts w:ascii="Times New Roman" w:cs="Times New Roman" w:eastAsia="Times New Roman" w:hAnsi="Times New Roman"/>
          <w:b/>
          <w:color w:val="000000"/>
          <w:rtl w:val="off"/>
        </w:rPr>
        <w:t>Pielikumi</w:t>
      </w:r>
    </w:p>
    <w:p w14:paraId="0000005F">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tl w:val="off"/>
        </w:rPr>
        <w:t>1.pielikums - Izsoles pieteikuma veidlapa uz 1 lapas;</w:t>
      </w:r>
    </w:p>
    <w:p w14:paraId="00000060">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tl w:val="off"/>
        </w:rPr>
        <w:t xml:space="preserve">2.pielikums -  Nedzīvojamo telpu nomas līguma projekts uz </w:t>
      </w:r>
      <w:r>
        <w:rPr>
          <w:rFonts w:ascii="Times New Roman" w:cs="Times New Roman" w:eastAsia="Times New Roman" w:hAnsi="Times New Roman"/>
          <w:rtl w:val="off"/>
        </w:rPr>
        <w:t>6</w:t>
      </w:r>
      <w:r>
        <w:rPr>
          <w:rFonts w:ascii="Times New Roman" w:cs="Times New Roman" w:eastAsia="Times New Roman" w:hAnsi="Times New Roman"/>
          <w:color w:val="000000"/>
          <w:rtl w:val="off"/>
        </w:rPr>
        <w:t xml:space="preserve"> lapām.</w:t>
      </w:r>
    </w:p>
    <w:p w14:paraId="00000061">
      <w:pPr>
        <w:spacing w:after="0"/>
        <w:jc w:val="both"/>
        <w:rPr>
          <w:rFonts w:ascii="Times New Roman" w:cs="Times New Roman" w:eastAsia="Times New Roman" w:hAnsi="Times New Roman"/>
          <w:b/>
          <w:i/>
        </w:rPr>
      </w:pPr>
    </w:p>
    <w:p w14:paraId="00000062">
      <w:pPr>
        <w:spacing w:after="0"/>
        <w:jc w:val="both"/>
        <w:rPr/>
      </w:pPr>
      <w:r>
        <w:rPr>
          <w:rFonts w:ascii="Times New Roman" w:cs="Times New Roman" w:eastAsia="Times New Roman" w:hAnsi="Times New Roman"/>
          <w:rtl w:val="off"/>
        </w:rPr>
        <w:t xml:space="preserve">Komisijas priekšsēdētājs </w:t>
        <w:tab/>
        <w:tab/>
        <w:tab/>
        <w:tab/>
        <w:tab/>
        <w:tab/>
        <w:tab/>
        <w:tab/>
        <w:t>J.Valters</w:t>
      </w:r>
    </w:p>
    <w:sectPr>
      <w:headerReference w:type="default" r:id="rId12"/>
      <w:footerReference w:type="first" r:id="rId13"/>
      <w:pgSz w:w="11906" w:h="16838" w:orient="portrait"/>
      <w:pgMar w:top="709" w:right="566" w:bottom="426" w:left="1276" w:header="708" w:footer="708"/>
      <w:pgNumType w:start="1"/>
      <w:titlePg/>
    </w:sectPr>
  </w:body>
</w:document>
</file>

<file path=word/fontTable.xml><?xml version="1.0" encoding="utf-8"?>
<w:fonts xmlns:r="http://schemas.openxmlformats.org/officeDocument/2006/relationships" xmlns:w="http://schemas.openxmlformats.org/wordprocessingml/2006/main">
  <w:font w:name="Calibri"/>
  <w:font w:name="Georgia"/>
  <w:font w:name="Times New Roman"/>
  <w:font w:name="Arial"/>
  <w:font w:name="Times"/>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p14="http://schemas.microsoft.com/office/word/2010/wordprocessingDrawing" xmlns:wpi="http://schemas.microsoft.com/office/word/2010/wordprocessingInk" xmlns:aink="http://schemas.microsoft.com/office/drawing/2016/ink">
  <w:p w14:paraId="00000065">
    <w:pPr>
      <w:pBdr>
        <w:top w:val="nil" w:sz="4" w:space="0"/>
        <w:left w:val="nil" w:sz="4" w:space="0"/>
        <w:bottom w:val="nil" w:sz="4" w:space="0"/>
        <w:right w:val="nil" w:sz="4" w:space="0"/>
        <w:between w:val="nil" w:sz="4" w:space="0"/>
      </w:pBdr>
      <w:tabs>
        <w:tab w:val="center" w:leader="none" w:pos="4153"/>
        <w:tab w:val="right" w:leader="none"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tl w:val="off"/>
      </w:rPr>
      <w:t xml:space="preserve">Lapa </w:t>
    </w:r>
    <w:r>
      <w:fldChar w:fldCharType="begin"/>
    </w:r>
    <w:r>
      <w:instrText xml:space="preserve">PAGE</w:instrText>
    </w:r>
    <w:r>
      <w:fldChar w:fldCharType="separate"/>
    </w:r>
    <w:r>
      <w:rPr>
        <w:rFonts w:ascii="Times New Roman" w:cs="Times New Roman" w:eastAsia="Times New Roman" w:hAnsi="Times New Roman"/>
        <w:color w:val="000000"/>
        <w:sz w:val="20"/>
        <w:szCs w:val="20"/>
        <w:rtl w:val="off"/>
      </w:rPr>
      <w:fldChar w:fldCharType="end"/>
    </w:r>
    <w:r>
      <w:rPr>
        <w:rFonts w:ascii="Times New Roman" w:cs="Times New Roman" w:eastAsia="Times New Roman" w:hAnsi="Times New Roman"/>
        <w:color w:val="000000"/>
        <w:sz w:val="20"/>
        <w:szCs w:val="20"/>
        <w:rtl w:val="off"/>
      </w:rPr>
      <w:t xml:space="preserve"> no </w:t>
    </w:r>
    <w:r>
      <w:fldChar w:fldCharType="begin"/>
    </w:r>
    <w:r>
      <w:instrText xml:space="preserve">NUMPAGES</w:instrText>
    </w:r>
    <w:r>
      <w:fldChar w:fldCharType="separate"/>
    </w:r>
    <w:r>
      <w:rPr>
        <w:rFonts w:ascii="Times New Roman" w:cs="Times New Roman" w:eastAsia="Times New Roman" w:hAnsi="Times New Roman"/>
        <w:color w:val="000000"/>
        <w:sz w:val="20"/>
        <w:szCs w:val="20"/>
      </w:rPr>
      <w:fldChar w:fldCharType="end"/>
    </w:r>
  </w:p>
  <w:p w14:paraId="00000066">
    <w:pPr>
      <w:pBdr>
        <w:top w:val="nil" w:sz="4" w:space="0"/>
        <w:left w:val="nil" w:sz="4" w:space="0"/>
        <w:bottom w:val="nil" w:sz="4" w:space="0"/>
        <w:right w:val="nil" w:sz="4" w:space="0"/>
        <w:between w:val="nil" w:sz="4" w:space="0"/>
      </w:pBdr>
      <w:tabs>
        <w:tab w:val="center" w:leader="none" w:pos="4153"/>
        <w:tab w:val="right" w:leader="none" w:pos="8306"/>
      </w:tabs>
      <w:spacing w:after="0" w:line="240" w:lineRule="auto"/>
      <w:rPr>
        <w:rFonts w:ascii="Times New Roman" w:cs="Times New Roman" w:eastAsia="Times New Roman" w:hAnsi="Times New Roman"/>
        <w:color w:val="000000"/>
        <w:sz w:val="20"/>
        <w:szCs w:val="20"/>
      </w:rP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p14="http://schemas.microsoft.com/office/word/2010/wordprocessingDrawing" xmlns:wpi="http://schemas.microsoft.com/office/word/2010/wordprocessingInk" xmlns:aink="http://schemas.microsoft.com/office/drawing/2016/ink">
  <w:p w14:paraId="00000063">
    <w:pPr>
      <w:pBdr>
        <w:top w:val="nil" w:sz="4" w:space="0"/>
        <w:left w:val="nil" w:sz="4" w:space="0"/>
        <w:bottom w:val="nil" w:sz="4" w:space="0"/>
        <w:right w:val="nil" w:sz="4" w:space="0"/>
        <w:between w:val="nil" w:sz="4" w:space="0"/>
      </w:pBdr>
      <w:tabs>
        <w:tab w:val="center" w:leader="none" w:pos="4153"/>
        <w:tab w:val="right" w:leader="none" w:pos="8306"/>
      </w:tabs>
      <w:spacing w:after="0" w:line="240" w:lineRule="auto"/>
      <w:jc w:val="center"/>
      <w:rPr>
        <w:rFonts w:ascii="Times New Roman" w:cs="Times New Roman" w:eastAsia="Times New Roman" w:hAnsi="Times New Roman"/>
        <w:color w:val="000000"/>
      </w:rPr>
    </w:pPr>
    <w:r>
      <w:fldChar w:fldCharType="begin"/>
    </w:r>
    <w:r>
      <w:instrText xml:space="preserve">PAGE</w:instrText>
    </w:r>
    <w:r>
      <w:fldChar w:fldCharType="separate"/>
    </w:r>
    <w:r>
      <w:rPr>
        <w:rFonts w:ascii="Times New Roman" w:cs="Times New Roman" w:eastAsia="Times New Roman" w:hAnsi="Times New Roman"/>
        <w:color w:val="000000"/>
      </w:rPr>
      <w:fldChar w:fldCharType="end"/>
    </w:r>
  </w:p>
  <w:p w14:paraId="00000064">
    <w:pPr>
      <w:pBdr>
        <w:top w:val="nil" w:sz="4" w:space="0"/>
        <w:left w:val="nil" w:sz="4" w:space="0"/>
        <w:bottom w:val="nil" w:sz="4" w:space="0"/>
        <w:right w:val="nil" w:sz="4" w:space="0"/>
        <w:between w:val="nil" w:sz="4" w:space="0"/>
      </w:pBdr>
      <w:tabs>
        <w:tab w:val="center" w:leader="none" w:pos="4153"/>
        <w:tab w:val="right" w:leader="none"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lvl w:ilvl="0" w:tentative="0">
      <w:start w:val="1"/>
      <w:numFmt w:val="decimal"/>
      <w:lvlText w:val="%1."/>
      <w:lvlJc w:val="left"/>
      <w:pPr>
        <w:ind w:left="360" w:hanging="360"/>
      </w:pPr>
      <w:rPr/>
    </w:lvl>
    <w:lvl w:ilvl="1" w:tentative="0">
      <w:start w:val="1"/>
      <w:numFmt w:val="decimal"/>
      <w:lvlText w:val="%1.%2."/>
      <w:lvlJc w:val="left"/>
      <w:pPr>
        <w:ind w:left="792" w:hanging="432"/>
      </w:pPr>
      <w:r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rPr/>
    </w:lvl>
    <w:lvl w:ilvl="4" w:tentative="0">
      <w:start w:val="1"/>
      <w:numFmt w:val="decimal"/>
      <w:lvlText w:val="%1.%2.%3.%4.%5."/>
      <w:lvlJc w:val="left"/>
      <w:pPr>
        <w:ind w:left="2232" w:hanging="792"/>
      </w:pPr>
      <w:rPr/>
    </w:lvl>
    <w:lvl w:ilvl="5" w:tentative="0">
      <w:start w:val="1"/>
      <w:numFmt w:val="decimal"/>
      <w:lvlText w:val="%1.%2.%3.%4.%5.%6."/>
      <w:lvlJc w:val="left"/>
      <w:pPr>
        <w:ind w:left="2736" w:hanging="933"/>
      </w:pPr>
      <w:rPr/>
    </w:lvl>
    <w:lvl w:ilvl="6" w:tentative="0">
      <w:start w:val="1"/>
      <w:numFmt w:val="decimal"/>
      <w:lvlText w:val="%1.%2.%3.%4.%5.%6.%7."/>
      <w:lvlJc w:val="left"/>
      <w:pPr>
        <w:ind w:left="3240" w:hanging="1080"/>
      </w:pPr>
      <w:rPr/>
    </w:lvl>
    <w:lvl w:ilvl="7" w:tentative="0">
      <w:start w:val="1"/>
      <w:numFmt w:val="decimal"/>
      <w:lvlText w:val="%1.%2.%3.%4.%5.%6.%7.%8."/>
      <w:lvlJc w:val="left"/>
      <w:pPr>
        <w:ind w:left="3744" w:hanging="1224"/>
      </w:pPr>
      <w:rPr/>
    </w:lvl>
    <w:lvl w:ilvl="8" w:tentative="0">
      <w:start w:val="1"/>
      <w:numFmt w:val="decimal"/>
      <w:lvlText w:val="%1.%2.%3.%4.%5.%6.%7.%8.%9."/>
      <w:lvlJc w:val="left"/>
      <w:pPr>
        <w:ind w:left="4320" w:hanging="1440"/>
      </w:pPr>
      <w:rPr/>
    </w:lvl>
  </w:abstractNum>
  <w:abstractNum w:abstractNumId="1">
    <w:lvl w:ilvl="0" w:tentative="0">
      <w:start w:val="1"/>
      <w:numFmt w:val="decimal"/>
      <w:lvlText w:val="%1."/>
      <w:lvlJc w:val="left"/>
      <w:pPr>
        <w:ind w:left="360" w:hanging="360"/>
      </w:pPr>
      <w:rPr/>
    </w:lvl>
    <w:lvl w:ilvl="1" w:tentative="0">
      <w:start w:val="1"/>
      <w:numFmt w:val="decimal"/>
      <w:lvlText w:val="%1.%2."/>
      <w:lvlJc w:val="left"/>
      <w:pPr>
        <w:ind w:left="792" w:hanging="432"/>
      </w:pPr>
      <w:r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rPr/>
    </w:lvl>
    <w:lvl w:ilvl="4" w:tentative="0">
      <w:start w:val="1"/>
      <w:numFmt w:val="decimal"/>
      <w:lvlText w:val="%1.%2.%3.%4.%5."/>
      <w:lvlJc w:val="left"/>
      <w:pPr>
        <w:ind w:left="2232" w:hanging="792"/>
      </w:pPr>
      <w:rPr/>
    </w:lvl>
    <w:lvl w:ilvl="5" w:tentative="0">
      <w:start w:val="1"/>
      <w:numFmt w:val="decimal"/>
      <w:lvlText w:val="%1.%2.%3.%4.%5.%6."/>
      <w:lvlJc w:val="left"/>
      <w:pPr>
        <w:ind w:left="2736" w:hanging="933"/>
      </w:pPr>
      <w:rPr/>
    </w:lvl>
    <w:lvl w:ilvl="6" w:tentative="0">
      <w:start w:val="1"/>
      <w:numFmt w:val="decimal"/>
      <w:lvlText w:val="%1.%2.%3.%4.%5.%6.%7."/>
      <w:lvlJc w:val="left"/>
      <w:pPr>
        <w:ind w:left="3240" w:hanging="1080"/>
      </w:pPr>
      <w:rPr/>
    </w:lvl>
    <w:lvl w:ilvl="7" w:tentative="0">
      <w:start w:val="1"/>
      <w:numFmt w:val="decimal"/>
      <w:lvlText w:val="%1.%2.%3.%4.%5.%6.%7.%8."/>
      <w:lvlJc w:val="left"/>
      <w:pPr>
        <w:ind w:left="3744" w:hanging="1224"/>
      </w:pPr>
      <w:rPr/>
    </w:lvl>
    <w:lvl w:ilvl="8" w:tentative="0">
      <w:start w:val="1"/>
      <w:numFmt w:val="decimal"/>
      <w:lvlText w:val="%1.%2.%3.%4.%5.%6.%7.%8.%9."/>
      <w:lvlJc w:val="left"/>
      <w:pPr>
        <w:ind w:left="4320" w:hanging="1440"/>
      </w:pPr>
      <w:rPr/>
    </w:lvl>
  </w:abstractNum>
  <w:abstractNum w:abstractNumId="2">
    <w:lvl w:ilvl="0" w:tentative="0">
      <w:start w:val="1"/>
      <w:numFmt w:val="decimal"/>
      <w:lvlText w:val="%1."/>
      <w:lvlJc w:val="left"/>
      <w:pPr>
        <w:ind w:left="360" w:hanging="360"/>
      </w:pPr>
      <w:rPr/>
    </w:lvl>
    <w:lvl w:ilvl="1" w:tentative="0">
      <w:start w:val="1"/>
      <w:numFmt w:val="decimal"/>
      <w:lvlText w:val="%1.%2."/>
      <w:lvlJc w:val="left"/>
      <w:pPr>
        <w:ind w:left="792" w:hanging="432"/>
      </w:pPr>
      <w:rPr/>
    </w:lvl>
    <w:lvl w:ilvl="2" w:tentative="0">
      <w:start w:val="1"/>
      <w:numFmt w:val="decimal"/>
      <w:lvlText w:val="5.12.%3."/>
      <w:lvlJc w:val="left"/>
      <w:pPr>
        <w:ind w:left="1224" w:hanging="504"/>
      </w:pPr>
      <w:rPr/>
    </w:lvl>
    <w:lvl w:ilvl="3" w:tentative="0">
      <w:start w:val="1"/>
      <w:numFmt w:val="decimal"/>
      <w:lvlText w:val="%1.%2.%3.%4."/>
      <w:lvlJc w:val="left"/>
      <w:pPr>
        <w:ind w:left="1728" w:hanging="647"/>
      </w:pPr>
      <w:rPr/>
    </w:lvl>
    <w:lvl w:ilvl="4" w:tentative="0">
      <w:start w:val="1"/>
      <w:numFmt w:val="decimal"/>
      <w:lvlText w:val="%1.%2.%3.%4.%5."/>
      <w:lvlJc w:val="left"/>
      <w:pPr>
        <w:ind w:left="2232" w:hanging="792"/>
      </w:pPr>
      <w:rPr/>
    </w:lvl>
    <w:lvl w:ilvl="5" w:tentative="0">
      <w:start w:val="1"/>
      <w:numFmt w:val="decimal"/>
      <w:lvlText w:val="%1.%2.%3.%4.%5.%6."/>
      <w:lvlJc w:val="left"/>
      <w:pPr>
        <w:ind w:left="2736" w:hanging="933"/>
      </w:pPr>
      <w:rPr/>
    </w:lvl>
    <w:lvl w:ilvl="6" w:tentative="0">
      <w:start w:val="1"/>
      <w:numFmt w:val="decimal"/>
      <w:lvlText w:val="%1.%2.%3.%4.%5.%6.%7."/>
      <w:lvlJc w:val="left"/>
      <w:pPr>
        <w:ind w:left="3240" w:hanging="1080"/>
      </w:pPr>
      <w:rPr/>
    </w:lvl>
    <w:lvl w:ilvl="7" w:tentative="0">
      <w:start w:val="1"/>
      <w:numFmt w:val="decimal"/>
      <w:lvlText w:val="%1.%2.%3.%4.%5.%6.%7.%8."/>
      <w:lvlJc w:val="left"/>
      <w:pPr>
        <w:ind w:left="3744" w:hanging="1224"/>
      </w:pPr>
      <w:rPr/>
    </w:lvl>
    <w:lvl w:ilvl="8" w:tentative="0">
      <w:start w:val="1"/>
      <w:numFmt w:val="decimal"/>
      <w:lvlText w:val="%1.%2.%3.%4.%5.%6.%7.%8.%9."/>
      <w:lvlJc w:val="left"/>
      <w:pPr>
        <w:ind w:left="4320" w:hanging="1440"/>
      </w:pPr>
      <w:rPr/>
    </w:lvl>
  </w:abstractNum>
  <w:abstractNum w:abstractNumId="3">
    <w:lvl w:ilvl="0" w:tentative="0">
      <w:start w:val="1"/>
      <w:numFmt w:val="decimal"/>
      <w:lvlText w:val="%1."/>
      <w:lvlJc w:val="left"/>
      <w:pPr>
        <w:ind w:left="360" w:hanging="360"/>
      </w:pPr>
      <w:r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Arial" w:cs="Arial" w:eastAsia="Arial" w:hAnsi="Arial"/>
        <w:b w:val="off"/>
        <w:i w:val="off"/>
        <w:u w:val="none"/>
      </w:rPr>
    </w:lvl>
    <w:lvl w:ilvl="3" w:tentative="0">
      <w:start w:val="1"/>
      <w:numFmt w:val="decimal"/>
      <w:lvlText w:val="%1.%2.%3.%4."/>
      <w:lvlJc w:val="left"/>
      <w:pPr>
        <w:ind w:left="1728" w:hanging="647"/>
      </w:pPr>
      <w:rPr/>
    </w:lvl>
    <w:lvl w:ilvl="4" w:tentative="0">
      <w:start w:val="1"/>
      <w:numFmt w:val="decimal"/>
      <w:lvlText w:val="%1.%2.%3.%4.%5."/>
      <w:lvlJc w:val="left"/>
      <w:pPr>
        <w:ind w:left="2232" w:hanging="792"/>
      </w:pPr>
      <w:rPr/>
    </w:lvl>
    <w:lvl w:ilvl="5" w:tentative="0">
      <w:start w:val="1"/>
      <w:numFmt w:val="decimal"/>
      <w:lvlText w:val="%1.%2.%3.%4.%5.%6."/>
      <w:lvlJc w:val="left"/>
      <w:pPr>
        <w:ind w:left="2736" w:hanging="933"/>
      </w:pPr>
      <w:rPr/>
    </w:lvl>
    <w:lvl w:ilvl="6" w:tentative="0">
      <w:start w:val="1"/>
      <w:numFmt w:val="decimal"/>
      <w:lvlText w:val="%1.%2.%3.%4.%5.%6.%7."/>
      <w:lvlJc w:val="left"/>
      <w:pPr>
        <w:ind w:left="3240" w:hanging="1080"/>
      </w:pPr>
      <w:rPr/>
    </w:lvl>
    <w:lvl w:ilvl="7" w:tentative="0">
      <w:start w:val="1"/>
      <w:numFmt w:val="decimal"/>
      <w:lvlText w:val="%1.%2.%3.%4.%5.%6.%7.%8."/>
      <w:lvlJc w:val="left"/>
      <w:pPr>
        <w:ind w:left="3744" w:hanging="1224"/>
      </w:pPr>
      <w:rPr/>
    </w:lvl>
    <w:lvl w:ilvl="8" w:tentative="0">
      <w:start w:val="1"/>
      <w:numFmt w:val="decimal"/>
      <w:lvlText w:val="%1.%2.%3.%4.%5.%6.%7.%8.%9."/>
      <w:lvlJc w:val="left"/>
      <w:pPr>
        <w:ind w:left="4320" w:hanging="1440"/>
      </w:pPr>
      <w:rPr/>
    </w:lvl>
  </w:abstractNum>
  <w:abstractNum w:abstractNumId="4">
    <w:lvl w:ilvl="0" w:tentative="0">
      <w:start w:val="1"/>
      <w:numFmt w:val="decimal"/>
      <w:lvlText w:val="%1."/>
      <w:lvlJc w:val="left"/>
      <w:pPr>
        <w:ind w:left="360" w:hanging="360"/>
      </w:pPr>
      <w:rPr/>
    </w:lvl>
    <w:lvl w:ilvl="1" w:tentative="0">
      <w:start w:val="1"/>
      <w:numFmt w:val="decimal"/>
      <w:lvlText w:val="%1.%2."/>
      <w:lvlJc w:val="left"/>
      <w:pPr>
        <w:ind w:left="792" w:hanging="432"/>
      </w:pPr>
      <w:r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rPr/>
    </w:lvl>
    <w:lvl w:ilvl="4" w:tentative="0">
      <w:start w:val="1"/>
      <w:numFmt w:val="decimal"/>
      <w:lvlText w:val="%1.%2.%3.%4.%5."/>
      <w:lvlJc w:val="left"/>
      <w:pPr>
        <w:ind w:left="2232" w:hanging="792"/>
      </w:pPr>
      <w:rPr/>
    </w:lvl>
    <w:lvl w:ilvl="5" w:tentative="0">
      <w:start w:val="1"/>
      <w:numFmt w:val="decimal"/>
      <w:lvlText w:val="%1.%2.%3.%4.%5.%6."/>
      <w:lvlJc w:val="left"/>
      <w:pPr>
        <w:ind w:left="2736" w:hanging="933"/>
      </w:pPr>
      <w:rPr/>
    </w:lvl>
    <w:lvl w:ilvl="6" w:tentative="0">
      <w:start w:val="1"/>
      <w:numFmt w:val="decimal"/>
      <w:lvlText w:val="%1.%2.%3.%4.%5.%6.%7."/>
      <w:lvlJc w:val="left"/>
      <w:pPr>
        <w:ind w:left="3240" w:hanging="1080"/>
      </w:pPr>
      <w:rPr/>
    </w:lvl>
    <w:lvl w:ilvl="7" w:tentative="0">
      <w:start w:val="1"/>
      <w:numFmt w:val="decimal"/>
      <w:lvlText w:val="%1.%2.%3.%4.%5.%6.%7.%8."/>
      <w:lvlJc w:val="left"/>
      <w:pPr>
        <w:ind w:left="3744" w:hanging="1224"/>
      </w:pPr>
      <w:rPr/>
    </w:lvl>
    <w:lvl w:ilvl="8" w:tentative="0">
      <w:start w:val="1"/>
      <w:numFmt w:val="decimal"/>
      <w:lvlText w:val="%1.%2.%3.%4.%5.%6.%7.%8.%9."/>
      <w:lvlJc w:val="left"/>
      <w:pPr>
        <w:ind w:left="4320" w:hanging="1440"/>
      </w:pPr>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Calibri" w:cs="Calibri" w:eastAsia="Calibri" w:hAnsi="Calibri"/>
        <w:sz w:val="22"/>
        <w:szCs w:val="22"/>
        <w:lang w:val="lv-LV"/>
      </w:rPr>
    </w:rPrDefault>
    <w:pPrDefault>
      <w:pPr>
        <w:spacing w:after="160" w:line="259" w:lineRule="auto"/>
      </w:pPr>
    </w:pPrDefault>
  </w:docDefaults>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styleId="DefaultParagraphFont">
    <w:name w:val="Default Paragraph Font"/>
    <w:uiPriority w:val="1"/>
    <w:semiHidden w:val="on"/>
    <w:unhideWhenUsed w:val="on"/>
  </w:style>
  <w:style w:type="table"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szCs w:val="52"/>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f81bd"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val="on"/>
    <w:rPr>
      <w:smallCaps/>
      <w:color w:val="c0504d" w:themeColor="accent2"/>
      <w:u w:val="single"/>
    </w:rPr>
  </w:style>
  <w:style w:type="character" w:styleId="IntenseReference">
    <w:name w:val="Intense Reference"/>
    <w:basedOn w:val="DefaultParagraphFont"/>
    <w:uiPriority w:val="32"/>
    <w:qFormat w:val="on"/>
    <w:rPr>
      <w:b/>
      <w:bCs/>
      <w:smallCaps/>
      <w:color w:val="c0504d"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000ff"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1f497d" w:themeColor="text2"/>
      <w:sz w:val="18"/>
      <w:szCs w:val="18"/>
    </w:rPr>
  </w:style>
  <w:style w:type="paragraph" w:default="1" w:styleId="Normal">
    <w:name w:val="Normal"/>
    <w:uiPriority w:val="99"/>
  </w:style>
  <w:style w:type="table" w:default="1" w:styleId="TableNormal">
    <w:name w:val="Table Normal"/>
    <w:uiPriority w:val="99"/>
  </w:style>
  <w:style w:type="paragraph" w:styleId="Heading1">
    <w:name w:val="Heading 1"/>
    <w:basedOn w:val="Normal"/>
    <w:next w:val="Normal"/>
    <w:uiPriority w:val="99"/>
    <w:pPr>
      <w:keepNext w:val="on"/>
      <w:keepLines w:val="on"/>
      <w:spacing w:before="480" w:after="120"/>
    </w:pPr>
    <w:rPr>
      <w:b/>
      <w:sz w:val="48"/>
      <w:szCs w:val="48"/>
    </w:rPr>
  </w:style>
  <w:style w:type="paragraph" w:styleId="Heading2">
    <w:name w:val="Heading 2"/>
    <w:basedOn w:val="Normal"/>
    <w:next w:val="Normal"/>
    <w:uiPriority w:val="99"/>
    <w:pPr>
      <w:keepNext w:val="on"/>
      <w:keepLines w:val="on"/>
      <w:spacing w:before="360" w:after="80"/>
    </w:pPr>
    <w:rPr>
      <w:b/>
      <w:sz w:val="36"/>
      <w:szCs w:val="36"/>
    </w:rPr>
  </w:style>
  <w:style w:type="paragraph" w:styleId="Heading3">
    <w:name w:val="Heading 3"/>
    <w:basedOn w:val="Normal"/>
    <w:next w:val="Normal"/>
    <w:uiPriority w:val="99"/>
    <w:pPr>
      <w:keepNext w:val="on"/>
      <w:keepLines w:val="on"/>
      <w:spacing w:before="280" w:after="80"/>
    </w:pPr>
    <w:rPr>
      <w:b/>
      <w:sz w:val="28"/>
      <w:szCs w:val="28"/>
    </w:rPr>
  </w:style>
  <w:style w:type="paragraph" w:styleId="Heading4">
    <w:name w:val="Heading 4"/>
    <w:basedOn w:val="Normal"/>
    <w:next w:val="Normal"/>
    <w:uiPriority w:val="99"/>
    <w:pPr>
      <w:keepNext w:val="on"/>
      <w:keepLines w:val="on"/>
      <w:spacing w:before="240" w:after="40"/>
    </w:pPr>
    <w:rPr>
      <w:b/>
      <w:sz w:val="24"/>
      <w:szCs w:val="24"/>
    </w:rPr>
  </w:style>
  <w:style w:type="paragraph" w:styleId="Heading5">
    <w:name w:val="Heading 5"/>
    <w:basedOn w:val="Normal"/>
    <w:next w:val="Normal"/>
    <w:uiPriority w:val="99"/>
    <w:pPr>
      <w:keepNext w:val="on"/>
      <w:keepLines w:val="on"/>
      <w:spacing w:before="220" w:after="40"/>
    </w:pPr>
    <w:rPr>
      <w:b/>
    </w:rPr>
  </w:style>
  <w:style w:type="paragraph" w:styleId="Heading6">
    <w:name w:val="Heading 6"/>
    <w:basedOn w:val="Normal"/>
    <w:next w:val="Normal"/>
    <w:uiPriority w:val="99"/>
    <w:pPr>
      <w:keepNext w:val="on"/>
      <w:keepLines w:val="on"/>
      <w:spacing w:before="200" w:after="40"/>
    </w:pPr>
    <w:rPr>
      <w:b/>
      <w:sz w:val="20"/>
      <w:szCs w:val="20"/>
    </w:rPr>
  </w:style>
  <w:style w:type="paragraph" w:styleId="Title">
    <w:name w:val="Title"/>
    <w:basedOn w:val="Normal"/>
    <w:next w:val="Normal"/>
    <w:uiPriority w:val="99"/>
    <w:pPr>
      <w:keepNext w:val="on"/>
      <w:keepLines w:val="on"/>
      <w:spacing w:before="480" w:after="120"/>
    </w:pPr>
    <w:rPr>
      <w:b/>
      <w:sz w:val="72"/>
      <w:szCs w:val="72"/>
    </w:rPr>
  </w:style>
  <w:style w:type="paragraph" w:styleId="Subtitle">
    <w:name w:val="Subtitle"/>
    <w:basedOn w:val="Normal"/>
    <w:next w:val="Normal"/>
    <w:uiPriority w:val="99"/>
    <w:pPr>
      <w:keepNext w:val="on"/>
      <w:keepLines w:val="on"/>
      <w:spacing w:before="360" w:after="80"/>
    </w:pPr>
    <w:rPr>
      <w:rFonts w:ascii="Georgia" w:cs="Georgia" w:eastAsia="Georgia" w:hAnsi="Georgia"/>
      <w:i/>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12" Type="http://schemas.openxmlformats.org/officeDocument/2006/relationships/header" Target="header1.xml"/><Relationship Id="rId13" Type="http://schemas.openxmlformats.org/officeDocument/2006/relationships/footer" Target="footer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lnsc.lv" TargetMode="External"/><Relationship Id="rId7" Type="http://schemas.openxmlformats.org/officeDocument/2006/relationships/hyperlink" Target="http://www.vni.lv" TargetMode="External"/><Relationship Id="rId8" Type="http://schemas.openxmlformats.org/officeDocument/2006/relationships/hyperlink" Target="http://www.daugavasstadions.lv" TargetMode="External"/><Relationship Id="rId9" Type="http://schemas.openxmlformats.org/officeDocument/2006/relationships/hyperlink" Target="http://www.vni.lv" TargetMode="External"/></Relationships>
</file>

<file path=word/_rels/footer1.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mbria"/>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