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19</w:t>
      </w:r>
      <w:r>
        <w:rPr>
          <w:rFonts w:ascii="Times New Roman" w:cs="Times New Roman" w:eastAsia="Times New Roman" w:hAnsi="Times New Roman"/>
          <w:sz w:val="20"/>
          <w:szCs w:val="20"/>
        </w:rPr>
        <w:t>. februāra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Nr.1-17.1/6</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uzkodu automāta tirdzniecības vietas nomu, kas atrodas Augšielā 1, Daugavas stadiona B tribīnē, Rīgā.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1-17.2/18</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1-17.2/18</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uzkodu automata tirdzniecības vietu, kas atrodās Daugavas stadiona B tribīnē, Augšielā 1, Rīgā</w:t>
      </w:r>
      <w:r>
        <w:rPr>
          <w:rFonts w:ascii="Times New Roman" w:cs="Times New Roman" w:eastAsia="Times New Roman" w:hAnsi="Times New Roman"/>
          <w:color w:val="000000"/>
        </w:rPr>
        <w:t>, un ir ne lielāka par 2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Viena uzkodu automāta izvietošana</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18</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(viens simts astoņdesmit</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18</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(astoņpadsmit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highlight w:val="none"/>
        </w:rPr>
        <w:t>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w:t>
      </w:r>
      <w:r>
        <w:rPr>
          <w:rFonts w:ascii="Times New Roman" w:cs="Times New Roman" w:eastAsia="Times New Roman" w:hAnsi="Times New Roman"/>
          <w:color w:val="000000"/>
        </w:rPr>
        <w:t xml:space="preserve"> gads.</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uzkodu automāta tirdzniecības vietas nomu, kas atrodas Augšielā 1, Daugavas stadiona B tribīnē, Rīgā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.1-17.2/18”</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05</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1:15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5"/>
      <w:footerReference w:type="first" r:id="rId3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5" Type="http://schemas.openxmlformats.org/officeDocument/2006/relationships/header" Target="header1.xml"/><Relationship Id="rId36"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